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finansējuma saņēmēja un sadarbības partnera tiešās attiecināmās personāla izmaksas (projekta vadības un projekta īstenošanas personāla atlīdzības izmaksas), izņemot virsstundas, šo noteikumu </w:t>
            </w:r>
            <w:r w:rsidR="00000000" w:rsidRPr="00000000" w:rsidDel="00000000">
              <w:rPr>
                <w:rtl w:val="0"/>
              </w:rPr>
              <w:t xml:space="preserve">18.12.</w:t>
            </w:r>
            <w:r w:rsidR="00000000" w:rsidRPr="00000000" w:rsidDel="00000000">
              <w:rPr>
                <w:rtl w:val="0"/>
              </w:rPr>
              <w:t xml:space="preserve"> apakšpunktā minētās atbalstāmās darbības īstenošanai atbilstoši atbildīgās iestādes apstiprinātajai vienkāršoto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20.1.apakšpunktā vārdus "un sadarbības partnera", lai nerastos interpretācijas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sadarbības partnera finansējuma plānošana tiek paredzēta sadarbības līgumā, vienlaikus precizējumu lūdzam veikt visā noteikumu projekta tekstā, tostarp noteikumu projekta 20.2.9. punktā un iepriekš minētajā noteikumu projekta 15.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ja vārdu savienojums tiek atstāts, kā arī šo noteikumu projekta 15. punkts netiek svītrots, lūdzam salāgot visu noteikumu projektu, tostarp noteikumu projekta 20.2.9. punktu, ar noteikumu projekta 15.punktu un pie tā papildus lūgto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42.punktā un atkārtoti lūdzam precizēt anotācijā ietverto skaidrojumu par to, kāpēc pasākuma ietvaros piešķirtais finansējums sadarbības partneriem, piemēram, BKUS, nav kvalificējams kā komercdarbības atbalsts. Atkārtoti skaidrojam, ka anotācijā norādītais, ka "</w:t>
            </w:r>
            <w:r w:rsidR="00000000" w:rsidRPr="00000000" w:rsidDel="00000000">
              <w:rPr>
                <w:i w:val="1"/>
                <w:rtl w:val="0"/>
              </w:rPr>
              <w:t xml:space="preserve">BKUS nesaņems kādus papildus labumus vai konkurenci kropļojošas priekšrocības pār citiem tirgus dalībniekiem</w:t>
            </w:r>
            <w:r w:rsidR="00000000" w:rsidRPr="00000000" w:rsidDel="00000000">
              <w:rPr>
                <w:rtl w:val="0"/>
              </w:rPr>
              <w:t xml:space="preserve">" un arī, ka "</w:t>
            </w:r>
            <w:r w:rsidR="00000000" w:rsidRPr="00000000" w:rsidDel="00000000">
              <w:rPr>
                <w:i w:val="1"/>
                <w:rtl w:val="0"/>
              </w:rPr>
              <w:t xml:space="preserve">Plānotais atlīdzības izmaksu apmērs nepārsniegs tirgus vērtību kā citiem līdzvērtīgiem atbilstošiem jomas speciālistiem</w:t>
            </w:r>
            <w:r w:rsidR="00000000" w:rsidRPr="00000000" w:rsidDel="00000000">
              <w:rPr>
                <w:rtl w:val="0"/>
              </w:rPr>
              <w:t xml:space="preserve">", izslēdz komercdarbības atbalsta 2.pazīmi (ekonomiskā priekšrocība), kas minēta Komercdarbības atbalsta kontroles likuma 5.panta 2.punktā, nevis komercdarbības atbalsta 4.pazīmi (ietekme uz tirdzniecību un konkurenci ES iekšējā tirgū), kas minēta Komercdarbības atbalsta kontroles likuma 5.panta 4.punktā, līdz ar to aicinām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 anotācijas svītrot informāciju par to, ka "</w:t>
            </w:r>
            <w:r w:rsidR="00000000" w:rsidRPr="00000000" w:rsidDel="00000000">
              <w:rPr>
                <w:i w:val="1"/>
                <w:rtl w:val="0"/>
              </w:rPr>
              <w:t xml:space="preserve">BKUS nesaņems kādus papildus labumus vai konkurenci kropļojošas priekšrocības pār citiem tirgus dalībniekiem 4.3.6.8. pasākuma īstenošanas rezultātā un tādējādi šīs darbības neatbilst Komercdarbības atbalsta kontroles likuma 5. panta 4.punktam, kā rezultātā 4.3.6.8. pasākuma finansējums saistībā ar BKUS nav uzskatāms par komercdarbības atbalstu</w:t>
            </w:r>
            <w:r w:rsidR="00000000" w:rsidRPr="00000000" w:rsidDel="00000000">
              <w:rPr>
                <w:rtl w:val="0"/>
              </w:rPr>
              <w:t xml:space="preserve">" un "</w:t>
            </w:r>
            <w:r w:rsidR="00000000" w:rsidRPr="00000000" w:rsidDel="00000000">
              <w:rPr>
                <w:i w:val="1"/>
                <w:rtl w:val="0"/>
              </w:rPr>
              <w:t xml:space="preserve">finansējums nevar ietekmēt konkurenci ne Latvijas iekšējā tirgū, ne ES dalībvalstīs un tādējādi tas neatbilst Komercdarbības atbalsta kontroles likuma 5. panta 4.punktam</w:t>
            </w:r>
            <w:r w:rsidR="00000000" w:rsidRPr="00000000" w:rsidDel="00000000">
              <w:rPr>
                <w:rtl w:val="0"/>
              </w:rPr>
              <w:t xml:space="preserve">", bet iekļaut informāciju par to, ka, tā kā plānotais atlīdzības izmaksu apmērs sadarbības partneriem nepārsniegs tirgus vērtību kā citiem līdzvērtīgiem atbilstošiem jomas speciālistiem, tas neiegūs ekonomiskas priekšrocības, kādas tas nevarētu iegūt tirgus apstākļos, un līdz ar to finansējuma piešķiršana sadarbības partneriem neatbilst Komercdarbības atbalsta kontroles likuma 5. panta 2.punktam.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4.3. prioritātes "Nodarbinātība un sociālā iekļaušana" 4.3.6. specifiskā atbalsta mērķa "Veicināt nabadzības vai sociālās atstumtības riskam pakļauto cilvēku, tostarp vistrūcīgāko un bērnu, sociālo integrāciju" 4.3.6.8. pasākumu "IKT sistēmu modernizācija labākas bērnu tiesību aizsardzības sistēmas nodrošināšanai"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1.1.apakšpunktā skaitļus un vārdus "4.3. prioritātes "Nodarbinātība un sociālā iekļaušana"", lai nodrošinātu atbilstību noteikumu projekta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"un plānoto" aiz vārda "pieejamo", ņemot vērā noteikumu projekta 9.punktā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attiecināmais finansējums ir 4 350 000 </w:t>
            </w:r>
            <w:r w:rsidR="00000000" w:rsidRPr="00000000" w:rsidDel="00000000">
              <w:rPr>
                <w:i w:val="1"/>
                <w:rtl w:val="0"/>
              </w:rPr>
              <w:t xml:space="preserve">euro</w:t>
            </w:r>
            <w:r w:rsidR="00000000" w:rsidRPr="00000000" w:rsidDel="00000000">
              <w:rPr>
                <w:rtl w:val="0"/>
              </w:rPr>
              <w:t xml:space="preserve"> (tai skaitā elastības finansējuma apjoms 686 321 </w:t>
            </w:r>
            <w:r w:rsidR="00000000" w:rsidRPr="00000000" w:rsidDel="00000000">
              <w:rPr>
                <w:i w:val="1"/>
                <w:rtl w:val="0"/>
              </w:rPr>
              <w:t xml:space="preserve">euro</w:t>
            </w:r>
            <w:r w:rsidR="00000000" w:rsidRPr="00000000" w:rsidDel="00000000">
              <w:rPr>
                <w:rtl w:val="0"/>
              </w:rPr>
              <w:t xml:space="preserve">), tai skaitā Eiropas Sociālā fonda Plus finansējums 3 697 500 </w:t>
            </w:r>
            <w:r w:rsidR="00000000" w:rsidRPr="00000000" w:rsidDel="00000000">
              <w:rPr>
                <w:i w:val="1"/>
                <w:rtl w:val="0"/>
              </w:rPr>
              <w:t xml:space="preserve">euro</w:t>
            </w:r>
            <w:r w:rsidR="00000000" w:rsidRPr="00000000" w:rsidDel="00000000">
              <w:rPr>
                <w:rtl w:val="0"/>
              </w:rPr>
              <w:t xml:space="preserve"> (tai skaitā elastības finansējuma apjoms 583 373 </w:t>
            </w:r>
            <w:r w:rsidR="00000000" w:rsidRPr="00000000" w:rsidDel="00000000">
              <w:rPr>
                <w:i w:val="1"/>
                <w:rtl w:val="0"/>
              </w:rPr>
              <w:t xml:space="preserve">euro</w:t>
            </w:r>
            <w:r w:rsidR="00000000" w:rsidRPr="00000000" w:rsidDel="00000000">
              <w:rPr>
                <w:rtl w:val="0"/>
              </w:rPr>
              <w:t xml:space="preserve">) un valsts budžeta līdzfinansējums 652 500 </w:t>
            </w:r>
            <w:r w:rsidR="00000000" w:rsidRPr="00000000" w:rsidDel="00000000">
              <w:rPr>
                <w:i w:val="1"/>
                <w:rtl w:val="0"/>
              </w:rPr>
              <w:t xml:space="preserve">euro</w:t>
            </w:r>
            <w:r w:rsidR="00000000" w:rsidRPr="00000000" w:rsidDel="00000000">
              <w:rPr>
                <w:rtl w:val="0"/>
              </w:rPr>
              <w:t xml:space="preserve"> (tai skaitā elastības finansējuma apjoms 102 948 </w:t>
            </w:r>
            <w:r w:rsidR="00000000" w:rsidRPr="00000000" w:rsidDel="00000000">
              <w:rPr>
                <w:i w:val="1"/>
                <w:rtl w:val="0"/>
              </w:rPr>
              <w:t xml:space="preserve">euro</w:t>
            </w:r>
            <w:r w:rsidR="00000000" w:rsidRPr="00000000" w:rsidDel="00000000">
              <w:rPr>
                <w:rtl w:val="0"/>
              </w:rPr>
              <w:t xml:space="preserve">). Maksimālā Eiropas Sociālā fonda Plus finansējuma intensitāte ir 85 % no projektam plānotā kopējā attiecināmā finansējuma, un nacionālais līdzfinansējums nav mazāks par 15 % no projektam plānotā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8.punkta pēdējo teikumu, nosakot, ka maksimālais attiecināmais Eiropas Sociālā fonda Plus finansējuma apmērs nepārsniedz 85 procentus no projekta kopējā attiecināmā finansējuma un svītrojot tā pēdējo daļu "un nacionālais līdzfinansējums nav mazāks par 15 % no projektam plānotā kopējā attiecināmā finansējuma", lai nerodas interpretācijas iespējas, ņemot vērā, ka 4.3.6.8. pasākumā ir tikai viens nacionālā līdzfinansējuma avots - valsts budžets, kas nevar pārsniegt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izmaksu un ieguvumu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saskaņā ar projektu iesniegumu atlases nolikumu sagatavo projekta iesniegumu un iesniedz to sadarbības iestādē, izmantojot Kohēzijas politikas fondu vadības informācijas sistēmu. Ja sadarbības iestāde apstiprina projekta iesniegumu,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13.punktā vārdu "arī". Vēršam uzmanību, ka saskaņā ar Eiropas Savienības fondu 2021-2027.gada plānošanas perioda vadības likuma 1.panta 3.punkta a apakšpunktu, finansējuma saņēmējs ir tiešās vai pastarpinātās pārvaldes iestāde, atvasināta publiska persona, cita valsts iestāde, kuras projekta iesniegums ir apstiprināts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pieņem lēmumu par finansējuma piešķiršanu vai nepiešķiršanu sadarbības partnerim, kā arī uzrauga piešķirtā finansējuma lietderīgu un tiesisku izlietošanu atbilstoši projekta mērķiem par ko abas puses vienojas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15.punktu, ņemot vērā, ka finansējuma saņēmējam ar sadarbības partneri ir jāvienojas par pušu pienākumiem un vai par to tiks piešķirt finansējums. Vēršam uzmanību, ka tās ir pušu savstarpējās līgumiskās attiecības. Tomēr, ja punkts tiks atstāt, lūdzam skaidrot, kāda tiesību akta veidā lēmumi tiks pieņemti attiecībā uz finansējuma piešķiršanu? Papildus lūdzam skaidrot, vai var izveidoties tāda situācija, kad sadarbības partneris tam deleģētās darbības veiks bez projektam paredzētā finansējuma. Ja tāda situācija var izveidoties, lūdzam skaidrot par kādiem līdzekļiem sadarbības partneris veiks tam deleģētos pienākumus. Papildus norādām, ka noteikumu projektā ir norādītas atsevišķas izmaksu pozīcijas, kas ir attiecināmas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ar sadarbības partneri slēdz sadarbības līgumu atbilstoši normatīvajiem aktiem par kārtību, kādā Eiropas Savienības fondu vadībā iesaistītās institūcijas nodrošina Eiropas Savienības fondu ieviešanu 2021.–2027. gada plānošanas periodā. Sadarbības līgums nosaka savstarpējo atbildību, funkcijas, finansēšanas mehānismu (ja attiecināms), pārskatu sniegšanas kārtību un pienākumus projekta sekmīgai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16.punktā aiz vārda "nodrošina" vārdus "Eiropas Savienības" ar vārdu "šo", ņemot vērā attiecīgo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kārtību, kādā veicami norēķini ar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17.3.apakšpunktu ar zīmēm un vārdiem "(ja attiecināms)" aiz vārda "partneri" atbilstoši noteikumu projekta 16.punktā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informācijas un publicitātes pasākumu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18.10.apakšpunktu.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 informāciju par informācijas un publicitātes pasākumu nodrošināšanu (komunikācijas un vizuālās identitātes prasību nodrošināšanas nosacījumu ievērošanu),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ar projekta darbībām tieši saistīto publicitātes pasākumu izmaksas atbilstoši normatīvajiem aktiem, kas nosaka kārtību,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20.2.8. punktu "aizstājot vārdu "publicitātes" ar vārdiem "vizuālās identitātes prasību nodrošināšanas".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noteikumu projekta 20.2.8.punkta vārdus un skaitļus "normatīvajiem aktiem, kas nosaka kārtību, kādā Eiropas Savienības fondu vadībā iesaistītās institūcijas nodrošina šo fondu ieviešanu 2021.–2027.gada plānošanas periodā" ar vārdiem un skaitļiem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Lūdzam pēc analoģijas precizēt arī noteikumu projekta 25.2.apakšpunktu.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salāgot arī anotāciju, norādot un atsaukties uz spēkā esošajiem Ministru kabineta 2023.gada 13. jūlija noteikumiem Nr.408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atbilstoši nacionālajā likumdošanā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"likumdošana" ir normatīvā akta vai tā grozījumu izdošanas process, lūdzam precizēt noteikumu projekta 25.4. apakšpunktu aizstājot vārdu "likumdošanā" ar vārdiem "normatīvajos aktos"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finansējuma avotiem tiek plānots finansēt sistēmas uzturēšanu pēc projekta beigām, ņemot vērā anotācijā norādīto, ka sistēma tiks veidota kā ilgtermiņā izmantojama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intervences laukumiem norādīto finansējuma apmēru no 924 325 euro uz 924 3</w:t>
            </w:r>
            <w:r w:rsidR="00000000" w:rsidRPr="00000000" w:rsidDel="00000000">
              <w:rPr>
                <w:u w:val="single"/>
                <w:rtl w:val="0"/>
              </w:rPr>
              <w:t xml:space="preserve">7</w:t>
            </w:r>
            <w:r w:rsidR="00000000" w:rsidRPr="00000000" w:rsidDel="00000000">
              <w:rPr>
                <w:rtl w:val="0"/>
              </w:rPr>
              <w:t xml:space="preserve">5 euro, atbilstoši Programmas papildinājumā norādītajam, lai to kopsumma atspoguļotu pasākumam plānoto ESF+ finansējuma pilno apmēru - 3 697 500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izvērtēt vai skaitļi "16.1-16.11." būtu aizstājami ar skaitļiem " 18.1.-18.11" anotācijas 1.3. sadaļas "Pašreizējā situācija, problēmas un risinājumi" "Risinājuma apraksts" 62. 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20. punkts nosaka tiešās attiecināmās izmaksas, lūdzam papildināt ar skaidrojumu uz kāda pamata anotācijas 1.3. punkta "Pašreizējā situācija, problēmas un risinājumi" "Risinājuma apraksts" 36. rindkopā noteikts, ka BKUS speciālistiem tiks kompensēta daļa no atlīdzības, kā arī papildināt ar kritērijiem kādi tiks ievēroti no finansējuma saņēmēja puses, nosakot šo apmēru un izmaksas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sniegto informāciju finansējuma sadalījumam pa gadiem, ņemot vērā, ka šobrīd elastības finansējuma apjoms no pasākuma ietvaros plānotā kopējā attiecināmā finansējuma veidojas 686 320 euro apmērā, kas neatbilst noteikumu projekta 8. punktā norādītajam finansējuma apjomam 686 321 euro apmērā un pasākuma kopējā attiecināmā finansējuma, lai slēgtu vienošanos par projektu īstenošanu summa veidojas 3 663 680 euro, kas neatbilst noteikumu projekta 9. punktā norādītajam finansējumam 3 663 679 euro apmērā. Vienlaikus lūdzam svītrot pēdējās divās rindkopās sniegto informāciju, ņemot vērā, ka viss pasākumam paredzētais finansējums tiks nodrošināts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7.punkta pirmā teikuma redakciju, norādot, ka noteikumu projekts </w:t>
            </w:r>
            <w:r w:rsidR="00000000" w:rsidRPr="00000000" w:rsidDel="00000000">
              <w:rPr>
                <w:u w:val="single"/>
                <w:rtl w:val="0"/>
              </w:rPr>
              <w:t xml:space="preserve">var</w:t>
            </w:r>
            <w:r w:rsidR="00000000" w:rsidRPr="00000000" w:rsidDel="00000000">
              <w:rPr>
                <w:rtl w:val="0"/>
              </w:rPr>
              <w:t xml:space="preserve"> ietekmēt amata vietu skaitu Valsts kancelejā, ņemot vērā, ka esošo cilvēkresursu kapacitāte vēl tikai tiks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Sociālā fonda Plus līdzfinansētā Eiropas Savienības kohēzijas politikas programmas 2021.–2027. gadam 4.3.6. specifiskā atbalsta mērķa “Veicināt nabadzības vai sociālās atstumtības riskam pakļauto cilvēku, tostarp vistrūcīgāko un bērnu, sociālo integrāciju” 4.3.6.8.pasākuma “IKT sistēmu modernizācija labākas bērnu tiesību aizsardzības sistēmas nodrošināšanai” projekta iesnieguma apstiprināšanai sadarbības iestādē, Valsts kancelejai atļaut normatīvajos aktos noteiktā kārtībā, pamatojoties uz Ministru kabineta 2018. gada 17. jūlija noteikumu Nr. 421 “Kārtība, kādā veic gadskārtējā valsts budžeta likumā noteiktās apropriācijas izmaiņas” 24.2. apakšpunktu, pārdalīt finansējumu ne vairāk kā 86 760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norādīts, ka Valsts kanceleja 2023.gadā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pieprasīs finansējumu ne vairāk kā 86 760 euro apmērā, savukārt anotācijas 3.sadaļā 2023.gadam papildu nepieciešamais finansējums norādīts 73 274 euro apmērā.  Lūdzam novērst minēto neatbilstību, attiecīgi precizējot Ministru kabineta sēdes protokollēmuma projekta 3. punktā vai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