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sadaļu “Kopsavilkums”vai “Esošās situācijas apraksts”, sniedzot īsu pamatojumu, kāpēc ir nepieciešams veidot dokumentu 7 gadu termiņam (2021.-2027.gadam), lai gan plāna apstiprināšanas brīdī 2 gadi no plāna darbības termiņa jau būs pagājuši. Lūdzam apsvērt iespēju noteikt plāna darbības termiņu no 2023.gada līdz 2027.gadam.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Ozoliņa (PKC)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1 plāna pasākumam kā izpildes termiņš ir norādīts 2021.gads (4.1. - 1.1.) un 15 plāna pasākumiem kā izpildes termiņš ir norādīts 2022.gads  (1.2. - 1.3.; 1.2. - 4.1.; 2.1. - 2.2.; 4.1. - 1.1.; 4.2.2. - 1.1.; 4.2.3. - 2.1.; 4.9.1. - 1.1.; 4.9.3. - 1.1.; 4.9.7. - 1.1.; 4.10.1. - 1.1.; 4.10.3. - 1.1.; 4.10.3. - 2.1.; 4.11. - 1.1; 5.1. - 1.1. un 1.). Lūdzam papildināt minētos pasākumus ar norādēm par izpildi vai koriģēt termiņus, ja plānotā pasākuma rezlizācija aizkavējusies.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Ozoliņa (PKC)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