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 apakšpunkta sadaļā “Risinājuma apraksts” par e-pierādījumu regulas ieviešanu ir norādīts, ka likumprojekta 7. pantā ietvertajā Kriminālprocesa likuma 918. panta otrajā daļā ir noteikts, ka Valsts policija ir izpildes iestāde e-pierādījumu regulas 3. panta 17. punkta izpratnē, kā arī ir sniegta argumentācija, kādēļ Valsts policija ir izraudzīta kā attiecīgā izpildes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notikušās diskusijas likumprojekta saskaņošanas procesā, likumprojekts ir ticis precizēts un atbilstoši likumprojekta 7. pantā ietvertajai Kriminālprocesa likuma 918. panta otrajai daļai par izpildes iestādi e-pierādījumu regulas 3. panta 17. punkta izpratnē ir noteikta Ģenerālprokuratūra. Līdz ar to, lai nodrošinātu likumprojekta anotācijas atbilstību likumprojektā ietvertajam tiesiskajam regulējumam, nepieciešams precizēt likumprojekta anotācijas 1.3. apakšpunktā norādīto informāciju, norādot, ka par izpildes iestādi e-pierādījumu regulas 3. panta 17. punkta izpratnē tiek noteikta Ģenerālprokuratūra. Tāpat nepieciešams attiecīgi pārskatīt un precizēt par minēto tiesisko regulējumu visā likumprojekta anotācijā norādīto skaidrojumu, lai nodrošinātu tā atbilstību likumprojektam.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91. un 92.punktu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Grozījums šā likuma 875.8 pantā par personām, kurām ir jāizpilda ar elektronisko pierādījumu vākšanu saistītus pieprasījumus, stājas spēkā 2026. gada 18.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Šā likuma 87. nodaļas normas par Eiropas e-pierādījumu sniegšanas rīkojumu un Eiropas e-pierādījumu saglabāšanas rīkojumu pieņemšanu un izpildi stājas spēkā 2026. gada 18.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Šā likuma 192.1 pants stājas spēkā ar likuma “Par Eiropas Padomes Konvencijas par kibernoziegumiem otro papildu protokola par pastiprinātu sadarbību un elektronisko pierādījumu izpaušanu”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Kriminālprocesa likuma pārejas noteikumu 91. punkts paredz, ka grozījums Kriminālprocesa likuma 875.</w:t>
            </w:r>
            <w:r w:rsidR="00000000" w:rsidRPr="00000000" w:rsidDel="00000000">
              <w:rPr>
                <w:vertAlign w:val="superscript"/>
                <w:rtl w:val="0"/>
              </w:rPr>
              <w:t xml:space="preserve">8</w:t>
            </w:r>
            <w:r w:rsidR="00000000" w:rsidRPr="00000000" w:rsidDel="00000000">
              <w:rPr>
                <w:rtl w:val="0"/>
              </w:rPr>
              <w:t xml:space="preserve"> pantā par personām, kurām ir jāizpilda ar elektronisko pierādījumu vākšanu saistītus pieprasījumus, stājas spēkā 2026. gada 18.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pašreiz atrodas vēl saskaņošanas stadijā, likumprojekts stāsies spēkā vēlāk kā 2026. gada 18. februārī, līdz ar to aicinām izvērtēt likumprojektā ietvertā Kriminālprocesa likuma pārejas noteikumu 91. punkta nepieciešamību vai arī tajā norādīto datumu un nepieciešamības gadījumā to precizēt. Vienlaikus nepieciešamības gadījumā attiecīgi precizējama arī likumprojekta anotācijā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25-TA-2555</w:t>
    </w:r>
    <w:r>
      <w:br/>
    </w:r>
    <w:r w:rsidR="00000000" w:rsidRPr="00000000" w:rsidDel="00000000">
      <w:rPr>
        <w:rtl w:val="0"/>
      </w:rPr>
      <w:t xml:space="preserve">Izdrukāts 24.02.2026.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25-TA-2555</w:t>
    </w:r>
    <w:r>
      <w:br/>
    </w:r>
    <w:r w:rsidR="00000000" w:rsidRPr="00000000" w:rsidDel="00000000">
      <w:rPr>
        <w:rtl w:val="0"/>
      </w:rPr>
      <w:t xml:space="preserve">Izdrukāts 24.02.2026.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Atzinumi_25-TA-2555.docx</dc:title>
</cp:coreProperties>
</file>

<file path=docProps/custom.xml><?xml version="1.0" encoding="utf-8"?>
<Properties xmlns="http://schemas.openxmlformats.org/officeDocument/2006/custom-properties" xmlns:vt="http://schemas.openxmlformats.org/officeDocument/2006/docPropsVTypes"/>
</file>