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Mēslošanas līdzekļu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w:t>
            </w:r>
            <w:r w:rsidR="00000000" w:rsidRPr="00000000" w:rsidDel="00000000">
              <w:rPr>
                <w:b w:val="1"/>
                <w:rtl w:val="0"/>
              </w:rPr>
              <w:t xml:space="preserve">5.</w:t>
            </w:r>
            <w:r w:rsidR="00000000" w:rsidRPr="00000000" w:rsidDel="00000000">
              <w:rPr>
                <w:b w:val="1"/>
                <w:vertAlign w:val="superscript"/>
                <w:rtl w:val="0"/>
              </w:rPr>
              <w:t xml:space="preserve">1 </w:t>
            </w:r>
            <w:r w:rsidR="00000000" w:rsidRPr="00000000" w:rsidDel="00000000">
              <w:rPr>
                <w:b w:val="1"/>
                <w:rtl w:val="0"/>
              </w:rPr>
              <w:t xml:space="preserve">pants. Darbības veicēja pienākumi, darbojoties ar mēslošanas līdzekļiem sprāgstvielu prekursoriem un amonija nitrāta mēslošanas līdzekļiem ar augstu slāpekļa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Darbību veicējs pirms mēslošanas līdzekļa sprāgstvielu prekursora laišanas tirdzniecībā iesniedz dienestā tirdzniecības vietu sarakstu, norādot tirdzniecības vietas faktisko adresi. Ja darbību veicējs maina tirdzniecības vietu, tas nekavējoties informē dienestu par jaunās tirdzniecības vietas faktisko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Darbību veicējs katru gadu līdz 31. janvārim iesniedz dienestā informāciju par apjomu, kādā iepriekšējā gadā pārdoti mēslošanas līdzekļi sprāgstvielu prekursori. Darbību veicējs dokumentus par pārdotajiem mēslošanas līdzekļiem sprāgstvielu prekursoriem glabā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Darbību veicējam mēslošanas līdzekli, kurā amonija nitrāta slāpekļa saturs ir 16 procentu vai vairāk no mēslošanas līdzekļa masas, atļauts pārdot, ja grāmatvedību reglamentējošos normatīvajos aktos paredzētajā darījuma attaisnojuma dokumentā darbību veicējs papildus norāda pircēja apliecinājumu par mēslošanas līdzekļa izmantošanu tikai augu mēslošanai vai ja to iegādājas personai, kura uzrāda atļauju, kas izsniegta saskaņā ar normatīvajiem aktiem par civilām vajadzībām paredzēto sprāgstvielu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Darbību veicējs, kas pārdod mēslošanas līdzekli, kurā amonija nitrāta slāpekļa saturs ir 16 procentu vai vairāk no mēslošanas līdzekļa masas, papildus ziņām, kas noteiktas normatīvajos aktos par grāmatvedības kārtošanu un organizāciju, grāmatvedības reģistrā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konkrētā mēslošanas līdzekļa nosaukumu un pamatsastāvu;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ieņēmumu dienesta nodokļu maksātāja reģistrācijas numuru juridiskai personai vai personas kodu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Darbību veicējs dienestā iesniedz detonācijnoturības testu, kas veikts ne agrāk kā pirms trīs mēnešiem, vai šā testa kopiju vismaz piecas darbdienas, bet ne agrāk kā 15 darbdienas pirms dienas, kad Latvijā no trešās valsts ieved amonija nitrāta mēslošanas līdzekli ar augstu slāpekļa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Darbību veicējs vai tā pilnvarota persona, kas deklarē muitas procedūrai amonija nitrāta mēslošanas līdzekli ar augstu slāpekļa saturu, muitas deklarācijai pievieno vienu no šādiem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tranzīta muitas procedūrā — detonācijnoturības testu, kas veikts ne agrāk kā pirms trīs mēnešiem, vai šā testa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muitas procedūrā laišanai brīvā apgrozībā — detonācijnoturības testu, kas veikts ne agrāk kā pirms trīs mēnešiem, vai šā testa kopiju un dienesta apliecinājumu par detonācijnoturības testa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15.</w:t>
            </w:r>
            <w:r w:rsidR="00000000" w:rsidRPr="00000000" w:rsidDel="00000000">
              <w:rPr>
                <w:vertAlign w:val="superscript"/>
                <w:rtl w:val="0"/>
              </w:rPr>
              <w:t xml:space="preserve">1 </w:t>
            </w:r>
            <w:r w:rsidR="00000000" w:rsidRPr="00000000" w:rsidDel="00000000">
              <w:rPr>
                <w:rtl w:val="0"/>
              </w:rPr>
              <w:t xml:space="preserve">panta pirmajā daļā noteikts, ka Uzņēmumu reģistrs likumā "Par Latvijas Republikas Uzņēmumu reģistru" un citos likumos noteiktajā kārtībā reģistrē komersantus un to filiāles, kooperatīvās sabiedrības, individuālos uzņēmumus, zemnieku vai zvejnieku saimniecības, ārvalstu komersanta filiāles, ārvalstu komersanta pārstāvniecības, ārvalstu komersanta pārstāvjus, organizāciju pārstāvniecības un pārstāvjus, Eiropas ekonomisko interešu grupas, Eiropas komercsabiedrības, Eiropas kooperatīvās sabiedrības, politiskās partijas, biedrības un nodibinājumus, arodbiedrības, reliģiskās organizācijas un to iestādes arī kā nodokļu maksātājus un piešķir vienoto vienpadsmitzīmju reģistrācijas numuru, kas vienlaikus ir arī </w:t>
            </w:r>
            <w:r w:rsidR="00000000" w:rsidRPr="00000000" w:rsidDel="00000000">
              <w:rPr>
                <w:b w:val="1"/>
                <w:rtl w:val="0"/>
              </w:rPr>
              <w:t xml:space="preserve">nodokļu maksātāja reģistrācijas kods.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saskaņā ar nodokļu normatīvajiem aktiem nodokļu maksātājam piešķir nodokļu maksātāja reģistrācijas kodu, nevis numuru. Ievērojot minēto, lūdzam aizstāt likumprojekta 7.pantā ietvertā 5.</w:t>
            </w:r>
            <w:r w:rsidR="00000000" w:rsidRPr="00000000" w:rsidDel="00000000">
              <w:rPr>
                <w:vertAlign w:val="superscript"/>
                <w:rtl w:val="0"/>
              </w:rPr>
              <w:t xml:space="preserve">1</w:t>
            </w:r>
            <w:r w:rsidR="00000000" w:rsidRPr="00000000" w:rsidDel="00000000">
              <w:rPr>
                <w:rtl w:val="0"/>
              </w:rPr>
              <w:t xml:space="preserve"> panta ceturtās daļas 2.punktā vārdus "nodokļu maksātāja reģistrācijas numuru"ar vārdiem "nodokļu maksātāja reģistrācijas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 (Danute Deičmane (VID)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11.08.2026.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11.08.2026.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Atzinumi_25-TA-2577.docx</dc:title>
</cp:coreProperties>
</file>

<file path=docProps/custom.xml><?xml version="1.0" encoding="utf-8"?>
<Properties xmlns="http://schemas.openxmlformats.org/officeDocument/2006/custom-properties" xmlns:vt="http://schemas.openxmlformats.org/officeDocument/2006/docPropsVTypes"/>
</file>