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16. aprīļa noteikumos Nr. 158 "Noteikumi par tehnisko specifikāciju šaujamieroča pārveidošanai par salūtieroci (akustisko ieroci) un salūtieroča (akustiskā ieroča) apliecinājuma izsniegšanas, reģistrēšanas un valsts nodevas maksāšanas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08.04.2024.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08.04.2024.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Atzinumi_23-TA-3221.docx</dc:title>
</cp:coreProperties>
</file>

<file path=docProps/custom.xml><?xml version="1.0" encoding="utf-8"?>
<Properties xmlns="http://schemas.openxmlformats.org/officeDocument/2006/custom-properties" xmlns:vt="http://schemas.openxmlformats.org/officeDocument/2006/docPropsVTypes"/>
</file>