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23-TA-2775: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grozījumiem būvniecības normatīvajā regulējumā un aizsardzības/iekšlietu resora iepirkumu speciālistu atalgojumā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kabinetā saņemta Saeimas Aizsardzības, iekšlietu un korupcijas novēršanas komisijas 10.10.2023. vēstule Nr. 142.1.9/6-64-14/23 “Par Valsts aizsardzības militāro objektu un iepirkumu centra (VAMOIC) darbības aktualitātēm, izaicinājumiem, identificētās problēmas funkciju veikšanā un iespējamiem risinājumiem”.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Izskatot vēstulē minēto informāciju un sniegtos priekšlikumus, informēju, ka Ekonomikas ministrija sadarbībā ar Aizsardzības ministriju un Iekšlietu ministriju gatavo nepieciešamos grozījumus būvniecību regulējošajos normatīvajos aktos, kas nodrošinātu valsts aizsardzībai un drošībai nepieciešamo infrastruktūras objektu operatīvāku būvniecību un savlaicīgu ekspluatāciju.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Savukārt saistībā ar identificētajām problēmām saistībā ar atlīdzību, informēju, ka valsts un pašvaldību institūciju amatpersonām un darbiniekiem atlīdzība tiek noteikta saskaņā ar Valsts un pašvaldību institūciju amatpersonu un darbinieku atlīdzības likumu (turpmāk – Atlīdzības likums). Atlīdzības likums paredz, ka valsts un pašvaldību institūciju amatpersonām un darbiniekiem atlīdzības noteikšanā tiek ievēroti līdzvērtīgi nosacījumi.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Līdz ar atlīdzības reformas ieviešanu 2022. gadā tika pārskatīta un paaugstināta mēnešalgu skala, kas turklāt katru gadu indeksējas, mainoties bāzes mēnešalgai. Mēnešalgu skalā noteiktā viduspunkta mēnešalga ir noteikta kā mērķa alga valsts pārvaldē, kas ir noteikta 80 % ampērā no līdzīgas vērtības algas privātajā sektorā. Minētais nozīmē, ka, veidojot iestādē darba samaksas sistēmu, iestādes vadītājam ir iespējams arī variēt ar konkrētās mēnešalgas apmēru noteiktās mēnešalgu skalas mēnešalgu grupas intervāla ietvaros (piemērojot to no minimuma līdz pat maksimumam).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Atbilstoši Atlīdzības likumam amatpersonām un darbiniekiem atlīdzība tiek noteikta, primāri amatus klasificējot saskaņā ar Ministru kabineta 2022. gada 26. aprīļa noteikumiem Nr. 262 "Valsts un pašvaldību institūciju amatu katalogs, amatu klasifikācijas un amata apraksta izstrādāšanas kārtība" (turpmāk – Amatu katalogs).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Pilnveidojot Amatu katalogu, tika ņemti vērā institūciju izteiktie iebildumi un priekšlikumi attiecībā uz 2. saimi "Apgāde (iepirkumi)", precizējot amatu saimes līmeņu aprakstos ietvertos pamatpienākumus, pārskatot un paaugstinot attiecīgās mēnešalgu grupas, kā rezultātā jaunajā Amatu katalogā, salīdzinot ar iepriekšējo, visos 2. saimes līmeņos, izņemot pirmo, ir paaugstinātas mēnešalgu grupas (par 1-2 mēnešalgu grupām). Tādējādi pārsniedzot līdzīgas vērtības algas privātajā sektorā.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Ievērojot minēto, šobrīd 2. saimē "Apgāde (iepirkumi)" visos līmeņos klasificētajiem amatiem tiek nodrošināta konkurētspējīga atlīdzība valsts pārvaldē.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vēršu uzmanību uz to, ka Amatu kataloga 30. punktā ir noteikts, ka, klasificējot tāda vadošā eksperta amatu, kam ir unikāla kompetence specifiskā vai šauri specializētā institūcijas atbildības jomā, to var pielīdzināt attiecīgā līmeņa struktūrvienības vadītāja amatam. Šādi pielīdzinātu amatu skaits nedrīkst pārsniegt 5 % no institūcijas amata vietu kopskaita. Institūcijā, kurā ir mazāk par 20 amata vietām, var būt viens šāds amats.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iepriekš minēto, informēju, ka Aizsardzības ministrija šobrīd pārskata nodrošinājuma speciālistu funkcijas, uzdevumus un atalgojuma sistēmu, lai tā atbilstu Valsts kancelejas izstrādātajai atlīdzības politikai un nepieciešamības gadījumā gatavos informatīvo ziņojumu par atlīdzības sadaļas palielināšanu Valsts aizsardzības militāro objektu un iepirkumu centram, to pārdalot aizsardzības resora ietvaros no uzturēšanas izdevumiem uz atlīdzību. Atalgojuma pieaugums tiks segts aizsardzības resoram piešķirtā valsts budžeta ietvaros un papildus finanšu resursi netiks prasīti.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Arī Iekšlietu ministrijas ieskatā nepieciešams stiprināt kapacitāti iepirkumu jomā, motivējot iepirkumu speciālistus, it īpaši, ja tiek veikti valsts drošībai būtiski iepirkumi. Indikatīvi papildu nepieciešamais finansējums iepirkumu veicējiem iekšlietu resorā atlīdzības palielināšanai sastādītu 2 473 683 euro.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Pateicos Saeimas Aizsardzības, iekšlietu un korupcijas novēršanas komisijai par līdzšinējo ieguldījumu aizsardzības un iekšlietu nozares stiprināšanā.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iebilst pret vēstules projektā norādīto nepieciešamo indikatīvo finansējuma apmēru Iekšlietu ministrijai, kas nav atbalstāms šādu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Saeima 2023. gada 16. novembrī 1. lasījumā pieņēma likumprojektu “Par valsts budžetu 2023. gadam un budžeta ietvaru 2023., 2024. un 2025. gadam”, kur ietverti Ministru kabineta atbalstīti prioritārie pasākumi. Norādāms, ka starp informatīvā ziņojuma "Par priekšlikumiem valsts budžeta prioritārajiem pasākumiem  2024. gadam un budžeta ietvaram 2024. – 2026. gadam" (prot. Nr. 47 43 §) (23-TA-2414) 1. pielikumā ietvertajiem pasākumiem, kas vērsti uz valsts prioritāti “Drošība”, nav pasākuma, kurš paredzētu papildu atlīdzību iepirkumu veicējiem iekšlietu resorā.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Nodrošinājumu valsts aģentūrā 2. saimē “Apgāde (iepirkumi)” kopumā klasificēti 17 amati. Savukārt kopumā Iekšlietu ministrijas resora iestādēs 2. saimē “Apgāde (iepirkumi)” klasificēti 73 amati, no kuriem vakanti ir 8 (Atlīdzības uzskaites sistēmas dati uz 30.09.2023.). Informējam, ka, vērtējot nodarbinātajiem noteikto mēnešalgas apmēru, secināms, ka vidēji tas ir 76,62 % no skalas intervāla viduspunkta vai 109,49 % no skalas intervāla minimuma. Vienlaikus konstatējams, ka 8 nodarbinātajiem mēnešalga ir noteikta zem attiecīgās mēnešalgu grupas skalas intervāla minimuma, neskatoties uz to, ka Ministru kabinets 2023. gada 13. janvārī atbalstīja un Saeima pieņēma likumu “Par valsts budžetu 2023. gadam un budžeta ietvaru 2023., 2024. un 2025. gadam”, kur tika piešķirti papildu līdzekļi, lai nodarbinātajiem mēnešalga nebūtu zemāka kā attiecīgās mēnešalgu grupas skalas intervāla minimums. Tādējādi neizpildot valdības lemto.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vērtējot norādītā finansējuma apmēru kopsakarā ar amata vietu skaitu, kas klasificēti 2. saimē “Apgāde (iepirkumi)”, secināms, ka 1 amata vietai paredzētais finansējums tiek plānots 2 284,84 </w:t>
            </w:r>
            <w:r w:rsidR="00000000" w:rsidRPr="00000000" w:rsidDel="00000000">
              <w:rPr>
                <w:i w:val="1"/>
                <w:rtl w:val="0"/>
              </w:rPr>
              <w:t xml:space="preserve">euro</w:t>
            </w:r>
            <w:r w:rsidR="00000000" w:rsidRPr="00000000" w:rsidDel="00000000">
              <w:rPr>
                <w:rtl w:val="0"/>
              </w:rPr>
              <w:t xml:space="preserve"> / mēnesī (neskaitot darba devēja sociālā nodokļa maksājumu). Tādējādi, palielinot katram nodarbinātajam esošo mēnešalgu par plānoto finansējuma summu (+ 2 284,84 </w:t>
            </w:r>
            <w:r w:rsidR="00000000" w:rsidRPr="00000000" w:rsidDel="00000000">
              <w:rPr>
                <w:i w:val="1"/>
                <w:rtl w:val="0"/>
              </w:rPr>
              <w:t xml:space="preserve">euro</w:t>
            </w:r>
            <w:r w:rsidR="00000000" w:rsidRPr="00000000" w:rsidDel="00000000">
              <w:rPr>
                <w:rtl w:val="0"/>
              </w:rPr>
              <w:t xml:space="preserve">) veidosies situācija, ka jaunās mēnešalgas apmērs krietni pārsniegs attiecīgās mēnešalgu grupas skalas maksimālo apmēru, kas ir normatīvo aktu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Iekšlietu ministrija virzīja un Ministru kabinets 2022. gada 18. oktobrī izdeva rīkojumu Nr. 734  “Par apropriācijas pārdali” (prot. Nr. 53 54. §), ar kuru Nodrošinājuma valsts aģentūrai Budžeta apakšprogrammā 40.01.00 "Administrēšana" tika pārdalīts papildu nepieciešamais finansējums, lai nodrošinātu kapacitātes stiprināšanu pamatfunkciju izpildes nodrošināšanai un atbalsta sniegšana citām Iekšlietu ministrijas padotības iestādēm (skat. Anotācijas pielikuma 3. tabulu). Minētais paredzēja, ka vidēji iepirkumu speciālistu mēnešalgai būt jāpalielinās par 143 </w:t>
            </w:r>
            <w:r w:rsidR="00000000" w:rsidRPr="00000000" w:rsidDel="00000000">
              <w:rPr>
                <w:i w:val="1"/>
                <w:rtl w:val="0"/>
              </w:rPr>
              <w:t xml:space="preserve">euro</w:t>
            </w:r>
            <w:r w:rsidR="00000000" w:rsidRPr="00000000" w:rsidDel="00000000">
              <w:rPr>
                <w:rtl w:val="0"/>
              </w:rPr>
              <w:t xml:space="preserve"> uz 2 mēnešu periodu, kas sakrīt ar kalendārā gada beigām. Vērtējot Nodrošinājuma valsts aģentūras sniegtos datus Atlīdzības uzskaites sistēmā par 2022. gada oktobri un decembri, tai skaitā savstarpēji salīdzinot tika to nodarbināto mēnešalgas, kuri bija nodarbināti gan oktobrī, gan arī decembrī un klasificēti 2. saimē, secināms, ka vidējais mēnešalgas pieaugums norādītajiem amatiem ir 112 </w:t>
            </w:r>
            <w:r w:rsidR="00000000" w:rsidRPr="00000000" w:rsidDel="00000000">
              <w:rPr>
                <w:i w:val="1"/>
                <w:rtl w:val="0"/>
              </w:rPr>
              <w:t xml:space="preserve">euro</w:t>
            </w:r>
            <w:r w:rsidR="00000000" w:rsidRPr="00000000" w:rsidDel="00000000">
              <w:rPr>
                <w:rtl w:val="0"/>
              </w:rPr>
              <w:t xml:space="preserve">. Vienlaikus no Atlīdzības uzskaites sistēmā iesniegtajiem datiem arī secināms, ka oktobrī noteiktās algas ir tikušas pārskatītas 2022. gada 1. jūlijā, savukārt decembrī noteiktās mēnešalgas – 2022. gada 1. novembrī.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23-TA-2775</w:t>
    </w:r>
    <w:r>
      <w:br/>
    </w:r>
    <w:r w:rsidR="00000000" w:rsidRPr="00000000" w:rsidDel="00000000">
      <w:rPr>
        <w:rtl w:val="0"/>
      </w:rPr>
      <w:t xml:space="preserve">Izdrukāts 21.11.2023.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23-TA-2775</w:t>
    </w:r>
    <w:r>
      <w:br/>
    </w:r>
    <w:r w:rsidR="00000000" w:rsidRPr="00000000" w:rsidDel="00000000">
      <w:rPr>
        <w:rtl w:val="0"/>
      </w:rPr>
      <w:t xml:space="preserve">Izdrukāts 21.11.2023.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Atzinumi_23-TA-2775.docx</dc:title>
</cp:coreProperties>
</file>

<file path=docProps/custom.xml><?xml version="1.0" encoding="utf-8"?>
<Properties xmlns="http://schemas.openxmlformats.org/officeDocument/2006/custom-properties" xmlns:vt="http://schemas.openxmlformats.org/officeDocument/2006/docPropsVTypes"/>
</file>