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par tirgus dalības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dzīves cikls - investīcijas ekonomiski derīgais laikposms, kurā ir iespējams gūt finansiālu vai ekonomisku labumu no projektā ieguldītajiem līdzekļiem vai radītajiem aktīviem. Par projekta dzīves ciklu uzskata projekta īstenošanas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ietvaros tiks piešķirts atbalsts, kas ir uzskatāms par atbalstu tekošajām izmaksām (t.i., darbības atbalstu), nevis par ieguldījumu atbalstu, tādējādi nav skaidrs, kādēļ noteikumu projekts ir papildināts ar 2.4. apakšpunktu, sniedzot projekta dzīves cikla definīciju, kas ir nepieciešama ieguldījuma atbalsta gadījumā, kā arī nav skaidrs, kādēļ noteikumu projekta 30., 31. un 32.punkts paredz uzraudzību projekta dzīves cikla laikā. Attiecīgi lūdzam izvērtēt noteikumu projekta 2.4.apakšpunkta nepieciešamību un atbilstoši precizēt 30., 31. un 32.punktu.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kā atbalsts, kas nekvalificējas kā komercdarbības atbalsts. Atbalsts nekvalificējas kā komercdarbības atbalsts, ja projekta iesniedzējam paredzētais atbalsts tiek sniegts darbībām, kas nav saistītas ar saimnieciskās darbības veikšanu vai tāds atbalsts, kuru piešķirot, tas neatbilst vismaz vienai komercdarbības atbalstu raksturojošajai pazīmei.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atbalstu raksturojošās pazīmes ir noteiktas Komercdarbības atbalsta kontroles likuma 5.pantā, normas skaidrībai, lūdzam papildināt 6.2.apakšpunkta redakciju, kā arī atbilstošo teksta daļu anotācijas 1.3.sadaļā ar atsauci uz to, piem.,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kā atbalsts, kas nekvalificējas kā komercdarbības atbalsts. Atbalsts nekvalificējas kā komercdarbības atbalsts, ja projekta iesniedzējam paredzētais atbalsts tiek sniegts darbībām, kas nav saistītas ar saimnieciskās darbības veikšanu vai tāds atbalsts, kuru piešķirot, tas neatbilst vismaz vienai Komercdarbības atbalsta kontroles likuma 5.pantā noteiktajai komercdarbības atbalstu raksturojošajai pazīmei.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attiecināmo izmaksu ietvaros ir attiecināms pievienotās vērtības nodoklis attiecināmajām izmaksām,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redakcionāli precizēt noteikumu projekta 14.punktu. Vēršam uzmanību, ka valodas izteiksmes skaidrība ir būtisks priekšnoteikums, lai tiesību norma būtu ātri un precīzi uztverama.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neatbilst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punktā minēto atsauci, norādot korektus 2.punkta apakšpunktus, ka nosaka prasības pretendentiem, ņemot vērā to, ka MK noteikumu 2.punktā, t.sk. ir apakšpunkti, kas nosaka, piemēram, kas ir projekta dzīves cikls, respektīvi tas īsti nav attiecināms uz prasībām pretendentam.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ne vēlāk kā viena mēneša laikā pirms atlases uzsākšanas izstrādā un publicē  atbalsta saņēmēju atlases kārtību un komercdarbības atbalsta  piešķiršanas nosacījumus (tai skaitā pieejamo atbalsta apjomu) un uzskaiti. Informāciju par iespēju pieteikties atbalstam Aģentūra valsts platformā biznesa attīstībai www.business.gov.lv, norādot projekta pieteikumu iesniegšanas termiņu. Atlases kārtībai pievieno projekta pieteikuma veidlapu un citu iesniedzamo dokumentu veidlapas.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šī punkta otro teikumu, lai tas būtu pabeigts uz 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ne vēlāk kā viena mēneša laikā pirms atlases uzsākšanas izstrādā un publicē  atbalsta saņēmēju atlases kārtību un komercdarbības atbalsta  piešķiršanas nosacījumus (tai skaitā pieejamo atbalsta apjomu) un uzskaiti. Informāciju par iespēju pieteikties atbalstam Aģentūra </w:t>
            </w:r>
            <w:r w:rsidR="00000000" w:rsidRPr="00000000" w:rsidDel="00000000">
              <w:rPr>
                <w:u w:val="single"/>
                <w:rtl w:val="0"/>
              </w:rPr>
              <w:t xml:space="preserve">ievieto </w:t>
            </w:r>
            <w:r w:rsidR="00000000" w:rsidRPr="00000000" w:rsidDel="00000000">
              <w:rPr>
                <w:rtl w:val="0"/>
              </w:rPr>
              <w:t xml:space="preserve">valsts platformā biznesa attīstībai www.business.gov.lv, norādot projekta pieteikumu iesniegšanas termiņu. Atlases kārtībai pievieno projekta pieteikuma veidlapu un citu iesniedzamo dokumentu veidlapas.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ne vēlāk kā viena mēneša laikā pirms atlases uzsākšanas izstrādā un publicē  atbalsta saņēmēju atlases kārtību un komercdarbības atbalsta  piešķiršanas nosacījumus (tai skaitā pieejamo atbalsta apjomu) un uzskaiti. Informāciju par iespēju pieteikties atbalstam Aģentūra valsts platformā biznesa attīstībai www.business.gov.lv, norādot projekta pieteikumu iesniegšanas termiņu. Atlases kārtībai pievieno projekta pieteikuma veidlapu un citu iesniedzamo dokumentu veidlapas.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nav skaidrs, kas būs uzskatāms par atbalsta programmu Komercdarbības atbalsta kontroles likuma 1.panta 2.punkta ceturtās daļas izpratnē - šis noteikumu projekts vai arī Aģentūras izstrādātā kārtība. Atbilstoši Inovatīvas uzņēmējdarbības un prioritāro projektu atbalsta likumā (turpmāk - Likums) dotajam deleģējumam, Ministru kabinetam ir jāizstrādā komercdarbības atbalsta programmas īstenošanas nosacījumus un kārtību, līdz ar to lūdzam precizēt noteikumu projekta 21.punktu. Vienlaikus lūdzam skaidrot, vai noteikumu projekta 29.punktā pieminētā Aģentūras izstrādātā kārtība būs daļa no noteikumu projekta 21.punktā minētās kārtības. Lūdzam atbilstoši precizēt arī anotācijas 1.6.sadaļā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pirms atbalsta piešķiršanas pārbauda, vai projekta iesniedzējam saskaņā ar Valsts ieņēmumu dienesta administrēto nodokļu (nodevu) parādnieku datubāzē pieejamo informāciju nav nodokļu vai nodevu parādu, tai skaitā valsts sociālās apdrošināšanas obligāto iemaksu parādu, kas kopsummā pārsniedz 1000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likuma "Par nodokļiem un nodevām" 41. pantu (ja attiecināms). Ja projekta iesniedzējs neatbilst minētajam nosacījumam, Aģentūra pieņem lēmumu par atteikumu piešķirt atbalstu.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Īsti nav saprotams, kāpēc noteikumu 24.punktā, kas paredz pienākumu pārliecināties Valsts ieņēmumu dienesta (VID) administrēto nodokļu (nodevu) parādnieku datubāzē, vai konkrētam nodokļu maksātājam nodokļu parāds nepārsniedz 1000 eiro, nepieciešams iekļaut arī izņēmumus. Šajā normā tiek uzskaitīti likumā "Par nodokļiem un nodevām'" noteiktie gadījumi, kuros nodokļu maksātājs vispār pat neparādās VID administrēto nodokļu parādnieku datubāzē. Vēršam uzmanību, ka tieši likums "Par nodokļiem un nodevām" nosaka, no kādas summas tiek publicēts VID administrēto nodokļu parāds, kā arī nosaka gadījumus, kad nodokļu parāds netiek iekļauts publiskojamo datu bāzē. Ņemot vērā, ka regulējums paredz par parāda neesamību noteiktā apmērā pārliecināties tieši VID administrēto nodokļu parādnieku datu bāzē, lūdzam apsvērt, vai normā jāuzskaita tie gadījumi, kas netiek atspoguļoti šai datu 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Aģentūra veic atbalsta saņēmēja izvērtēšanu atbilstoši Komisijas regulas Nr.2023/2831 nosacījumiem uz atbalsta piešķiršanas brīdi.  Piešķirot  de minimis atbalstu, Aģentūra pārbauda, vai plānotais de minimis atbalsts kopā ar iepriekšējos trijos gados, skaitot no atbalsta piešķiršanas dienas, piešķirto de minimis atbalstu viena vienota uzņēmuma līmenī nepārsniedz Komisijas regulas Nr. 2023/2831 3. panta 2. punktā noteikto maksimālo de minimis atbalsta apmēru. Viens vienots uzņēmums ir uzņēmums, kas atbilst Komisijas regulas Nr.2023/2831 2.panta 2.punktā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piešķiršanas izvērtēšanas brīdī saskaņā ar noteikumu projektā lietoto terminoloģiju atbalsta pretendents joprojām ir uzskatāms par projekta iesniedzēju, nevis par atbalsta saņēmēju. Lūdzam atbilstoši precizēt 27.punkta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tiek pārkāpti Komisijas regulas Nr. 2023/2831 nosacījumi, gala labuma guvējam ir pienākums atmaksāt atbalsta sniedzējam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definēts termins "gala labuma guvējs", lūdzam precizēt noteikumu projekta 33.punktu, aizstājot iepriekšminēto terminu ar terminu "atbalsta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anotācijā sniegtos skaidrojumus, pirmkārt, novēršot to dublēšanos (piem., par noteikumu projekta ietvaros piešķirtā atbalsta kumulācijas un neatbalstāmo nozaru un darbību nodalīšanas nosacījumiem), otrkārt, izvērtējot nepieciešamību anotācijā saglabāt skaidrojumu par demarkācijas principa ievērošanu, jo sniegtais skaidrojums šobrīd ir pretrunā ar noteikumu projektā paredzēto kumulācijas pieļaujamību (vēršam uzmanību, ka demarkācijas principa ievērošana nav saistīta ar atbalsta kumulāciju komercdarbības atbalsta kontroles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3.sadaļā atspoguļoto informāciju, tabulas 2.ailē, 1., 1.1., 2. un 2.1.punktā norādot 2025.gadā atbalsta programmai paredzēto finansējumu 7 125 000 euro apmērā. Vienlaikus lūdzam precizēt sniegto informāciju punktā “Cita informācija”, norādot, ka likumā “Par valsts budžetu 2025. gadam un budžeta ietvaru 2025., 2026. un 2027. gadam” Ekonomikas ministrijas budžetā ir paredzēts finansējums atbalsta programmas īstenošanai 2025.gadam 7 125 000 euro un 2026.gadam 6 000 000 euro apmērā atbilstoši Ministru kabineta 2024.gada 25.aprīļa rīkojumam Nr. 319 “Par apropriācijas pārdali” un Ministru kabineta 2024.gada 20.augusta protokola Nr.32 61.§ 22.4.punktam. Attiecīgus redakcionālus precizējumus lūdzam veikt arī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punktu izvērtējumu pret Komisijas regulu Nr.2023/2831, ņemot vērā, ka šobrīd veiktais izvērtējums nav precīzs.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21.08.2025.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21.08.2025.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