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papildināt noteikumu projekta anotācijas 1.3. apakšsadaļu ar informāciju par noteikumu projekta 33. punkta u.c. vienību nepieciešamību un mērķi attiecībā uz regulējumu, ka atbalstu var piešķirt arī Uzņēmumu reģistra žurnālā ierakstītai kooperatīvai sabiedrībai, kā arī regulējumu, ka atbalstu var piešķirt arī saskaņā ar Komisijas 2013. gada 18. decembra Regulu (ES) Nr. 1408/2013 par Līguma par Eiropas Savienības darbību 107. un 108. panta piemērošanu de minimis atbalstam lauksaimniecības nozarē (turpmāk - regula Nr. 1408/2013) vai Komisijas 2014. gada 27. jūnija Regulu (ES) Nr. 717/2014 par Līguma par Eiropas Savienības darbību 107. un 108. panta piemērošanu de minimis atbalstam zvejniecības un akvakultūras nozarē (turpmāk - regula Nr. 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papildināt noteikumu projekta anotācijas 5. sadaļu ar skaidrojumu par regulas Nr. 1408/2013 un regulas Nr. 717/2014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de minimis atbalstam lauksaimniecības nozarē (turpmāk – Komisijas regula Nr. 1408/2013) vai Komisijas 2014. gada 27. jūnija Regulas (ES) Nr. 717/2014 par Līguma par Eiropas Savienības darbību 107. un 108. panta piemērošanu de minimis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1408/2013 6. panta 1. punktam lūdzam papildināt atsauci uz minēto regulu ar norādi uz tās publikāciju Eiropas Savienības Oficiālajā Vēstnesī.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līdz 2026. gada 30. jūnijam piešķirto aizdevumu skaits – 65 aizdevumi;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ar noteikumu projekta anotācijā minēto, ka piešķirto aizdevumu skaits tiek samazināts no 133 uz 60 projektiem. Līdzīgi lūdzam precizēt citus mērķus (piem., anotācijā minēts, ka "tiek palielināts mērķa rādītājs no 37 milj. EUR līdz </w:t>
            </w:r>
            <w:r w:rsidR="00000000" w:rsidRPr="00000000" w:rsidDel="00000000">
              <w:rPr>
                <w:u w:val="single"/>
                <w:rtl w:val="0"/>
              </w:rPr>
              <w:t xml:space="preserve">43,8 milj.</w:t>
            </w:r>
            <w:r w:rsidR="00000000" w:rsidRPr="00000000" w:rsidDel="00000000">
              <w:rPr>
                <w:rtl w:val="0"/>
              </w:rPr>
              <w:t xml:space="preserve">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39. punktā ietvertais Ministru kabineta noteikumu 47.1. un 47.8. apakšpunkts varētu būt savstarpējā pretrunā, jo, ja runa ir par darbībām nozarēs un sfērās, uz kurām neattiecas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darbības joma, tad 47.1. apakšpunktā jau ir noregulēts attiecīgs dzīves gadījums, un tiesiskās sekas šādā gadījumā ir atbalsta pretendenta pienākums nodalīt nozaru darbību vai uzskaiti. Savukārt, ja runa ir par darbībām nozarēs un sfērās, uz kurām attiecas minētās regulas darbības joma, tad no noteikumu projekta un tā anotācijas neizriet pamatojums </w:t>
            </w:r>
            <w:r w:rsidR="00000000" w:rsidRPr="00000000" w:rsidDel="00000000">
              <w:rPr>
                <w:i w:val="1"/>
                <w:rtl w:val="0"/>
              </w:rPr>
              <w:t xml:space="preserve">de minimis</w:t>
            </w:r>
            <w:r w:rsidR="00000000" w:rsidRPr="00000000" w:rsidDel="00000000">
              <w:rPr>
                <w:rtl w:val="0"/>
              </w:rPr>
              <w:t xml:space="preserve"> atbalsta piešķiršanai saskaņā ar citām, nevis minēto </w:t>
            </w:r>
            <w:r w:rsidR="00000000" w:rsidRPr="00000000" w:rsidDel="00000000">
              <w:rPr>
                <w:i w:val="1"/>
                <w:rtl w:val="0"/>
              </w:rPr>
              <w:t xml:space="preserve">de minimis</w:t>
            </w:r>
            <w:r w:rsidR="00000000" w:rsidRPr="00000000" w:rsidDel="00000000">
              <w:rPr>
                <w:rtl w:val="0"/>
              </w:rPr>
              <w:t xml:space="preserve"> regulu (t.i., no noteikumu projekta neizriet, kādos gadījumos piemērojama regula Nr. 2023/2831) . Ievērojot minēto, lūdzam atbilstoši precizēt noteikumu projekta 39. punktu vai sniegt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 saimnieciskās darbības veicējiem, kas darbojas Komisijas regulas Nr. 2023/2831 1.panta 2. punkta noteiktajās darbībās, de minimis atbalsts tiek piešķirts saskaņā ar Komisijas regulu Nr. 1408/2013 vai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 kas darbojas (..) noteiktajās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06.03.2025.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06.03.2025.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