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grozījumu anotācijas 1.6. sadaļu ar skaidrojumu par CFLA un Nozares ministrijas rīcību trūkumu novēršanai gadījumos, kad tiek konstatēts, ka mērķa grupas persona vai tās mājoklis nav izvērtēts noteikumos paredzētajā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ir konstatētas atkāpes vai trūkumi, jo mērķa grupas persona, kura ar pašvaldības sociālā dienesta lēmumu ir iekļauta projektā, un/vai tās mājoklis nav izvērtēts noteikumos paredzētajā kārtībā, CFLA par to informē Nozares ministriju un savstarpēji saskaņo atkāpju vai trūkumu novēršanas mehānismu. Ja mērķa grupas persona un/vai tās mājoklis nav izvērtēts noteikumos paredzētajā kārtībā, bet pēc būtības atbilst noteikumu pielikumā norādītajiem kritērijiem un tam nav ietekmes uz pretendentu loku vai personu atlases rezultātu, saņemot Nozares ministrijas saskaņojumu, trūkumus var novērst atkārtoti izvērtējot mērķa grupas personas un tās mājokļa atbilstību noteikumos un to pielikumā paredzētajiem kritērijiem.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02.04.2026.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02.04.2026.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Atzinumi_26-TA-296.docx</dc:title>
</cp:coreProperties>
</file>

<file path=docProps/custom.xml><?xml version="1.0" encoding="utf-8"?>
<Properties xmlns="http://schemas.openxmlformats.org/officeDocument/2006/custom-properties" xmlns:vt="http://schemas.openxmlformats.org/officeDocument/2006/docPropsVTypes"/>
</file>