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izveidot  plāna "Cilvēkkapitāla attīstības stratēģija 2024.-2027. gadam" satura rādītāju, tādējadi nodrošinot dokumenta pārskatāmību.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tehniskus labojumus sadaļā "Plānotās STEM izglītības un prasmju veicināšanas aktivitātes/rezultāti/ termiņi"' 1.2.1.1.punktā kolonnā "Atbildība/Līdzatbildība", proti, papildināt ar LNKC (Latvijas Nacionālais kultūras centrs) un precizēt  MIKC "RDMV" (Mākslu izglītības komptences centrs "Rīgas Dizaina un mākslas vidusskola"),  kā arī attiecīgi arī sadaļā "Lietotie termini un saīsinājumi" minēt  saīsinājumus  - LNKC, MIKC "RDMV", LKA (Latvijas Kultūras akadēmija),  LMA (Latvijas Mākslas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LNKC, LKA,  LMA, MIKC "RDMV"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31.07.2024.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31.07.2024.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