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risinājumu, kas paredz, ka Centrālā finanšu un līgumu aģentūra kā Eiropas Savienības fondu sadarbības iestāde drīkst slēgt projekta īstenošanas līgumu ar Būvniecības valsts kontroles biroju par visu ierobežotas atlases ietvaros plānoto finansējumu. Vienlaikus tiek ņemts vērā, ka projekta īstenošanas ietvaros paredzētais finansējums un tā sadalījums pa finansēšanas avotiem var tik precizēts, ņemot vērā faktisko progresu Eiropas Savienības fondu īstenošanā, t.sk. atbrīvoto Eiropas Savienības fondu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lēmuma projekta 3. punkta pirmo teikumu, ņemot vērā, ka no noteikumu projekta jau izriet attiecīgs regulējums un nav nepieciešams vēl atsevišķi paust atbalstu šādam risinājumam, turklāt attiecīgu atbalstu plānots paust arī Ministru kabineta rīkojuma projekta "Grozījums Ministru kabineta 2015. gada 4. februāra rīkojumā Nr. 62 "Par Eiropas Savienības struktūrfondu un Kohēzijas fonda 2014.–2020.gada plānošanas perioda darbības programmu "Izaugsme un nodarbinātība"" (23-TA-2324)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Mazaizsargāto mājsaimniecību centralizētās siltumapgādes atlases ietvaros mērķis ir samazināt mazaizsargāto mājsaimniecību 2022./2023. gada sezonas centrālās apkures rēķinus.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skaidru tiesību normu izklāstu, sākotnēji paredzot, kāds ir 15.1.1. specifiskā atbalsta mērķa mērķis, secīgi paredzot, ka minēto specifiskā atbalsta mērķi īsteno ierobežotas projektu iesniegumu atlases kārtībā, jo šobrīd nav saprotams, vai minēto specifiskā atbalsta mērķi paredzēts sasniegt ar vairākām atlases kārtās un vai pilnībā sakrīt šī mērķa un konkrētās atlases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līdz 2023. gada 31. decembrim mazaizsargāto mājsaimniecību centralizētās siltumapgādes atlases ietvaros sasniedzamais iznākuma rādītājs - aktivitāšu vērtība  mazāk aizsargāto mājsaimniecību (ar ienākumiem uz vienu locekli zem vidējā valstī) enerģijas patēriņa izmaksu segšanai – 60 000 000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10.4. apakšpunktu ar 10. punkta ievaddaļu, kā arī nepieciešamības gadījumā papildināt noteikumu projekta 10. punktu mazaizsargāto mājsaimniecību centralizētās siltumapgādes atlases ietvaros sasniedzamajiem rezultāta rādītājiem un to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Mazaizsargāto mājsaimniecību centralizētās siltumapgādes atlases ietvaros atbalstāmās darbības ir enerģijas izmaksu segšana un energoresursu cenu kāpuma kompensācija, kā arī finansējuma saņēmēja projekta vadības un īstenošanas personāla atlīdzības izmaksas atbilstoši fiksētās summas maksājuma metodoloģijas aprakstā norādītajam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projektā ietverto Ministru kabineta 2017. gada 22. augusta noteikumu Nr. 495 "Darbības programmas "Izaugsme un nodarbinātība" 4.3.1. specifiskā atbalsta mērķa "Veicināt energoefektivitāti un vietējo AER izmantošanu centralizētajā siltumapgādē" otrās un trešās projektu iesniegumu atlases kārtas īstenošanas noteikumi"" 2. pielikumu, kas pirmšķietami nesatur vispārsaistošus uzvedības noteikumus (tiesību normas), bet gan vienīgi skaidrojumu, proti, informācijas kopumu (tostarp arī iekopētu likuma regulējumu, skaidrojumu par uzraudzības kārtību u.tml., kas neattiecas uz maksājuma metodoloģiju u.tml.). Ierosinām attiecīgo informāciju ietvert noteikumu projekta anotācijā, savukārt noteikumu projektā paredzēt vienīgi tiesību normas - prasības, nosacījumus u.c. saistībā ar fiksētās summas maksājumu, tostarp apmēriem u.tml., nepieciešamības gadījumā atsaucoties uz Energoresursu cenu ārkārtēja pieauguma samazinājuma pasākumu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Mazaizsargāto mājsaimniecību centralizētās siltumapgādes atlases ietvaros atbalstāmās darbības ir enerģijas izmaksu segšana un energoresursu cenu kāpuma kompensācija, kā arī finansējuma saņēmēja projekta vadības un īstenošanas personāla atlīdzības izmaksas atbilstoši fiksētās summas maksājuma metodoloģijas aprakstā norādītajam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projektam mazaizsargāto mājsaimniecību centralizētās siltumapgādes atlases ietvaros atbalstāmās darbības un attiecināmās izmaksas ir šobrīd norādītas identiski, tomēr pēc būtības energoresursu cenu kāpuma kompensēšana un enerģijas izmaksu segšana varētu būt atbalstāmās darbības, savukārt izdevumus veido konkrētas izmaksu pozīcijas, kas atbilst izdevumiem, kuri rodas attiecīgo atbalstāmo darbību ietvaros, piemēram, enerģijas izmaksas (vai to daļa) un energoresursu cenu kāpuma kompensācija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projekta īstenošanas ietvaros nepieciešamās iepirkumu procedūras tiek veiktas saskaņā ar normatīvo aktu prasībām iepirkumu procedūras jomā, īstenojot atklātu, pārredzamu, nediskriminējošu un konkurenci nodrošinošu konkursa procedūru. Atbalstāma ir arī vides prasību integrācija preču, pakalpojumu un būvdarbu iepirkumos (zaļais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un 33. punktā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atbalsts specifiskā atbalsta un atlases kārtu ietvaros tiek piešķirts saskaņā ar Komisijas regulu Nr. </w:t>
            </w:r>
            <w:r w:rsidR="00000000" w:rsidRPr="00000000" w:rsidDel="00000000">
              <w:rPr>
                <w:rtl w:val="0"/>
              </w:rPr>
              <w:t xml:space="preserve">1407/2013</w:t>
            </w:r>
            <w:r w:rsidR="00000000" w:rsidRPr="00000000" w:rsidDel="00000000">
              <w:rPr>
                <w:rtl w:val="0"/>
              </w:rPr>
              <w:t xml:space="preserve">, sadarbības iestāde pārliecinās par finansējuma saņēmējam piešķirto </w:t>
            </w:r>
            <w:r w:rsidR="00000000" w:rsidRPr="00000000" w:rsidDel="00000000">
              <w:rPr>
                <w:i w:val="1"/>
                <w:rtl w:val="0"/>
              </w:rPr>
              <w:t xml:space="preserve">de minimis</w:t>
            </w:r>
            <w:r w:rsidR="00000000" w:rsidRPr="00000000" w:rsidDel="00000000">
              <w:rPr>
                <w:rtl w:val="0"/>
              </w:rPr>
              <w:t xml:space="preserve"> atbalstu atbilstoši Komisijas regulas Nr. </w:t>
            </w:r>
            <w:r w:rsidR="00000000" w:rsidRPr="00000000" w:rsidDel="00000000">
              <w:rPr>
                <w:rtl w:val="0"/>
              </w:rPr>
              <w:t xml:space="preserve">1407/2013</w:t>
            </w:r>
            <w:r w:rsidR="00000000" w:rsidRPr="00000000" w:rsidDel="00000000">
              <w:rPr>
                <w:rtl w:val="0"/>
              </w:rPr>
              <w:t xml:space="preserve"> 6. panta 3. punktam un informē finansējuma saņēmēju par iespējamo atbalsta summu atbilstoši Komisijas regulas Nr. </w:t>
            </w:r>
            <w:r w:rsidR="00000000" w:rsidRPr="00000000" w:rsidDel="00000000">
              <w:rPr>
                <w:rtl w:val="0"/>
              </w:rPr>
              <w:t xml:space="preserve">1407/2013</w:t>
            </w:r>
            <w:r w:rsidR="00000000" w:rsidRPr="00000000" w:rsidDel="00000000">
              <w:rPr>
                <w:rtl w:val="0"/>
              </w:rPr>
              <w:t xml:space="preserve"> 6. panta 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nodrošinot, ka ir konsekventi skaidri nodalīts regulējums, kas attiecas uz 4.3.1. specifiskā atbalsta mērķa  un 15.1.1. specifiskā atbalsta mērķa īstenošanu. Norādām, ka vairākos gadījumos noteikumu projektā, tai skaitā 58. punktā u.c., tekstuāli regulējums ir attiecināms uz abu minēto specifisko atbalsta mērķu īstenošanu, kas varētu būt pretrunā ar attiecīgā regulējuma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Fiksētās summas maksājuma metodoloģijas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35. punktā nodrošināt, ka ir atrunāti visi šajā punktā (attiecīgo noteikumu 2. pielikumā) lietotie saīsinājumi pirmajā to lietošanas reizē, piemēram, CSP (lūdzam arī izvairīties no abreviatūru lietošanas, kuras nav vispārzināmas), Darbības programma, Regula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23-TA-1215</w:t>
    </w:r>
    <w:r>
      <w:br/>
    </w:r>
    <w:r w:rsidR="00000000" w:rsidRPr="00000000" w:rsidDel="00000000">
      <w:rPr>
        <w:rtl w:val="0"/>
      </w:rPr>
      <w:t xml:space="preserve">Izdrukāts 02.10.2023.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23-TA-1215</w:t>
    </w:r>
    <w:r>
      <w:br/>
    </w:r>
    <w:r w:rsidR="00000000" w:rsidRPr="00000000" w:rsidDel="00000000">
      <w:rPr>
        <w:rtl w:val="0"/>
      </w:rPr>
      <w:t xml:space="preserve">Izdrukāts 02.10.2023.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Atzinumi_23-TA-1215.docx</dc:title>
</cp:coreProperties>
</file>

<file path=docProps/custom.xml><?xml version="1.0" encoding="utf-8"?>
<Properties xmlns="http://schemas.openxmlformats.org/officeDocument/2006/custom-properties" xmlns:vt="http://schemas.openxmlformats.org/officeDocument/2006/docPropsVTypes"/>
</file>