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 februāra noteikumos Nr. 59 "Valsts un Eiropas Savienības atbalsta piešķiršanas kārtība investīciju veicināšanai lauksaimniecībā"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budžeta sadaļā pie 6.2. punkta “detalizēts izdevumu aprēķins”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2 500 000 euro – selekcijas materiāla izstrādei, lai veicinātu konvenciālo, integrēto un bioloģisko lauksaimniecības kultūraugu audzēšanas tehnoloģiju ieviešanu no budžeta apakšprogrammā 21.01.00 "Valsts atbalsts lauksaimniecībai un lauku attīstībai" </w:t>
            </w:r>
            <w:r w:rsidR="00000000" w:rsidRPr="00000000" w:rsidDel="00000000">
              <w:rPr>
                <w:b w:val="1"/>
                <w:rtl w:val="0"/>
              </w:rPr>
              <w:t xml:space="preserve">2023.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2024. gadu.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2 500 000 euro – selekcijas materiāla izstrādei, lai veicinātu konvenciālo, integrēto un bioloģisko lauksaimniecības kultūraugu audzēšanas tehnoloģiju ieviešanu no budžeta apakšprogrammā 21.01.00 "Valsts atbalsts lauksaimniecībai un lauku attīstībai" </w:t>
            </w:r>
            <w:r w:rsidR="00000000" w:rsidRPr="00000000" w:rsidDel="00000000">
              <w:rPr>
                <w:b w:val="1"/>
                <w:rtl w:val="0"/>
              </w:rPr>
              <w:t xml:space="preserve">2024.</w:t>
            </w:r>
            <w:r w:rsidR="00000000" w:rsidRPr="00000000" w:rsidDel="00000000">
              <w:rPr>
                <w:rtl w:val="0"/>
              </w:rPr>
              <w:t xml:space="preserve"> gadā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atsauci uz 2023. gada 13. janvāra Ministru kabineta protokolu Nr. 2 1§,  tā vietā norādot “atbilstoši Ministru kabineta 2023. gada 13. janvāra protokola Nr. 2 1.§ 2.punktam (prioritārā pasākuma “Atbalsts lauku attīstības politikai, īstenojot Kopējās lauksaimniecības politikas Stratēģisko plānu 2023.-2027. gadam” ietvaros)”, kā arī precizēt atsauci uz 2023. gada 26. septembra Ministru kabineta protokolu Nr. 47 43.§, tā vietā norādot “atbilstoši Ministru kabineta 2023. gada 26. septembra protokola Nr. 47 43.§ 2.punktam (prioritārā pasākuma “Atbalsts lauksaimniecības ekonomiskās dzīvotspējas stiprināšanai un krīzes radīto seko novēršanai”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23-TA-3274</w:t>
    </w:r>
    <w:r>
      <w:br/>
    </w:r>
    <w:r w:rsidR="00000000" w:rsidRPr="00000000" w:rsidDel="00000000">
      <w:rPr>
        <w:rtl w:val="0"/>
      </w:rPr>
      <w:t xml:space="preserve">Izdrukāts 18.03.2024. 19.46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23-TA-3274</w:t>
    </w:r>
    <w:r>
      <w:br/>
    </w:r>
    <w:r w:rsidR="00000000" w:rsidRPr="00000000" w:rsidDel="00000000">
      <w:rPr>
        <w:rtl w:val="0"/>
      </w:rPr>
      <w:t xml:space="preserve">Izdrukāts 18.03.2024. 19.46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Atzinumi_23-TA-3274.docx</dc:title>
</cp:coreProperties>
</file>

<file path=docProps/custom.xml><?xml version="1.0" encoding="utf-8"?>
<Properties xmlns="http://schemas.openxmlformats.org/officeDocument/2006/custom-properties" xmlns:vt="http://schemas.openxmlformats.org/officeDocument/2006/docPropsVTypes"/>
</file>