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speciālās regulatīvās vides izveidi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31.07.2025.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31.07.2025.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