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31. jūlija noteikumos Nr. 525 "Kārtība, kādā atsevišķiem naftas produktiem piemēro samazinātu akcīzes nodokļa likmi vai atbrīvojumu no akcīzes nodokļa"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27. Par ķīmisko vielu (fiskālo marķieri) izmanto butoksilbenzolu (CAS numurs 1126-79-0) - vismaz 9,5 gramus, bet ne vairāk kā 14,0 gramu.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Komisijas Īstenošanas lēmuma (ES) Nr. 2022/197 1. panta otrajā daļā teikts, ka iezīmētājvielas butoksibenzola koncentrācijai jābūt robežās 9.0-14.25 mg/L. Vēršam uzmanību, ka noteikumu projekta 27.punktā maksimālā butoksibenzola koncentrācija ir noteikta 14.0 mg/L, nevis 14.25 mg/L. Noteikumu projekta anotācijā nav sniegts pamatojums šādai koncentrāciju savstarpējai neatbilstībai. Ņemot vērā minēto, aicinām atkārtoti izvērtēt noteikumu projektā nosakāmo butoksibenzola koncentrāciju diapazonu.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Andrejs Šišuļins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05.09.2023.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05.09.2023.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