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atbalsta saņēmēju loku, nodrošinot godīgus konkurences apstākļus, lūdzam noteikt MK Noteikumu projektā, ka pasākuma ietvaros kā projekta iesniedzējs </w:t>
            </w:r>
            <w:r w:rsidR="00000000" w:rsidRPr="00000000" w:rsidDel="00000000">
              <w:rPr>
                <w:u w:val="single"/>
                <w:rtl w:val="0"/>
              </w:rPr>
              <w:t xml:space="preserve">var pieteikties komersants </w:t>
            </w:r>
            <w:r w:rsidR="00000000" w:rsidRPr="00000000" w:rsidDel="00000000">
              <w:rPr>
                <w:rtl w:val="0"/>
              </w:rPr>
              <w:t xml:space="preserve">sadarbībā ar pašvaldību, tās iestādēm, SEZ vai pašvaldības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tautsaimniecības attīstību, ražojot inovatīvus produktus, kā arī veicinot eksportspēju, Ekonomikas ministrijas ieskatā, pasākuma ietvaros jāuzstāda šādas prasības prasības komersantiem, ar ko tiek slēgts līgums par sadarbību vai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darbojas viedās specializācijas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ražo inovatīvus vai augstas pievienotās vērtības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komersanta jaunradīto darba vietu darbinieku vidējā darba alga pārsniedz vidējo darba samaksu attiecīgajā tautsaimniecības nozarē attiecīgajā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komersants plāno uzsākt eksportu triju gadu periodā pēc infrastruktūras izbūves.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komersantu saskaņā ar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kas nodrošina projekta iznākuma un rezultāta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komersants, ar ko noslēgts sadarbības līgums, projekta īstenošanas gaitā var mainīties uz citu komersantu?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Pētersone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11.04.2023.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11.04.2023.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