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21-TA-1164: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Inovatīvas uzņēmējdarbības un prioritāro projektu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projektu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papildināt likumprojekta 3.panta 8) apakšpunktu ar norādi - īpaši veicinot koka konstrukciju ēku būvniecību. Priekšlikums ir īpaši veicināt tieši koka konstrukciju būvniecību, kā tas ir norādīts bioekonomikas stratēģijā, savukārt bioekonomika ir viena no likumprojekta 3. punktā noteiktajām prioritātēm. Bioekonomikas stratēģijā koka būvniecība ir identificēta kā viena no nozares iespējām būtiski palielināt pievienoto vērtību un ir atbilstoša likumprojekta 3.panta 2 daļā minētajiem nosacījumiem, un saskan ar likumprojekta būtību kopumā. Vienlaicīgi, koka konstrukciju plašāka pielietošana ēku būvniecībā ir Valdības rīcības plānā (VRP) noteiktais  uzdevums (200.3.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Everita Kalvāne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04.12.2023. 08.05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04.12.2023. 08.05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Atzinumi_21-TA-1164.docx</dc:title>
</cp:coreProperties>
</file>

<file path=docProps/custom.xml><?xml version="1.0" encoding="utf-8"?>
<Properties xmlns="http://schemas.openxmlformats.org/officeDocument/2006/custom-properties" xmlns:vt="http://schemas.openxmlformats.org/officeDocument/2006/docPropsVTypes"/>
</file>