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22-TA-1828: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anotācijas 2.2. punktu par ietekmi uz tautsaimniecību, jo likumprojekts tiešā veidā ietekmē uzņēmējdarbības vidi, jo attiecas uz plašu komersantu loku, kas veic darbības ar elektroenerģiju. Lūdzam izvērtēt, kādu komersantu daļu ietekmē likumprojekts, izvērtējot pieejamos statistikas datus par nozari. Lūdzam skaidrot anotācijā, vai likumprojektā ietvertie ieguvumi pret potenciālajām izmaksām (papildus administratīvais slogs uzņēmējiem) ir samērīgi.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Ella Hartmane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skaidri noteikt, kam pārvades sistēmas operators pieprasa 29.</w:t>
            </w:r>
            <w:r w:rsidR="00000000" w:rsidRPr="00000000" w:rsidDel="00000000">
              <w:rPr>
                <w:vertAlign w:val="superscript"/>
                <w:rtl w:val="0"/>
              </w:rPr>
              <w:t xml:space="preserve">2</w:t>
            </w:r>
            <w:r w:rsidR="00000000" w:rsidRPr="00000000" w:rsidDel="00000000">
              <w:rPr>
                <w:rtl w:val="0"/>
              </w:rPr>
              <w:t xml:space="preserve"> panta (15) daļā minēto maksu, kā arī paskaidrot to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Jacuka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7.4.sadaļas 4.punktu ar informāciju, ka punktā minētās institūcijas likumprojektā paredzēto normu izpildi nodrošinās sava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22-TA-1828</w:t>
    </w:r>
    <w:r>
      <w:br/>
    </w:r>
    <w:r w:rsidR="00000000" w:rsidRPr="00000000" w:rsidDel="00000000">
      <w:rPr>
        <w:rtl w:val="0"/>
      </w:rPr>
      <w:t xml:space="preserve">Izdrukāts 06.11.2023. 18.26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22-TA-1828</w:t>
    </w:r>
    <w:r>
      <w:br/>
    </w:r>
    <w:r w:rsidR="00000000" w:rsidRPr="00000000" w:rsidDel="00000000">
      <w:rPr>
        <w:rtl w:val="0"/>
      </w:rPr>
      <w:t xml:space="preserve">Izdrukāts 06.11.2023. 18.26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Atzinumi_22-TA-1828.docx</dc:title>
</cp:coreProperties>
</file>

<file path=docProps/custom.xml><?xml version="1.0" encoding="utf-8"?>
<Properties xmlns="http://schemas.openxmlformats.org/officeDocument/2006/custom-properties" xmlns:vt="http://schemas.openxmlformats.org/officeDocument/2006/docPropsVTypes"/>
</file>