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savā atzinumā (LM - 11.05.2022., Izziņas 11.punkts) aicināja atbilstoši Labklājības ministrijas horizontālā principa (HP) "Vienlīdzība, iekļaušana, nediskriminācija un pamattiesību ievērošana" vadlīnijām [1], iekļaut noteikumu projektā vismaz 2 HP rādītājus (VINP10 un VINP18) (skat. vadlīniju 4.pielikumu). Attiecībā uz  VINP18 rādītāju LM piekrita, kas tas netiks iekļauts noteikumu projektā, taču attiecībā uz HP rādītāju VINP10, Ekonomikas ministrija atbildēja, ka šāds rādītājs ir iekļauts noteikumos, nenorādot konkrētu punktu.  LM neatrod šādu HP rādītāju precizētajā noteikumu projektā un atkārtoti lūdz iekļaut noteikumu projektā horizontālā principa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saņēmušie komersanti (dalībnieki valdēs - sievietes/vīrieši) (VINP10);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(https://www.lm.gov.lv/lv/vadlinijas-hp-ieviesanai-un-uzraudzibai).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darba semināru, tirdzniecības misiju, kontaktbiržu, prezentāciju, degustāciju, konferenču, preses konferenču un citu ar projekta mērķa sasniegšanu saistītu pasākumu organizēšanas izmaksas (tai skaitā dalības maksa, telpu noma, tulkošanas pakalpojumi, tai skaitā surdotulkošanas, reāllaika transkripcijas un subtitrēšanas izmaksas, tehniskā aprīkojuma, mārketinga materiālu, prezentācijas un degustācijas materiālu transportēšanas, iekraušanas, izkraušanas un uzglabāšanas izmaksas, produktu iegāde, dalībnieku piesaiste, konsultantu, ēdināšanas, transporta pakalpojumu nodrošināšanas un reprezentācijas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aizvietojot vārdu "surdotulkošana" ar terminu "tulkošana zīmju valodā"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 tulkošanas pakalpojumu izmaksas, tai skaitā reāllaika transkripcijas, surdotulkošanas un subtitrēšanas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aizvietojot vārdu "surdotulkošana" ar terminu "tulkošana zīmju valodā"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