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24-TA-1504: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 – 2027. gadam 2.2.2. specifiskā atbalsta mērķa “Pārejas uz aprites ekonomiku veicināšana” 2.2.2.1. pasākuma “Atkritumu šķirošana, pārstrāde un reģenerācija” projektu iesniegumu otrās un trešās atlases kārtas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Otro kārtu īsteno atklātas projektu iesniegumu atlases veidā, projektu iesniegumu atlasi rīkojot piecos uzsaukumos – pa vienam uzsaukumam katrā atkritumu apsaimniekošanas reģionā.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8. un 9. punktu, </w:t>
            </w:r>
            <w:r w:rsidR="00000000" w:rsidRPr="00000000" w:rsidDel="00000000">
              <w:rPr>
                <w:b w:val="1"/>
                <w:rtl w:val="0"/>
              </w:rPr>
              <w:t xml:space="preserve">neparedzot atsevišķu uzsaukumu katrā atkritumu apsaimniekošanas reģionā</w:t>
            </w:r>
            <w:r w:rsidR="00000000" w:rsidRPr="00000000" w:rsidDel="00000000">
              <w:rPr>
                <w:rtl w:val="0"/>
              </w:rPr>
              <w:t xml:space="preserve">, proti, desmit uzsaukumus divu kārtu ietvaros. Atlases saturs (nolikums, prasības) katrā atkritumu apsaimniekošanas reģionā būtu vienāds, un projektu dalījums pa atkritumu apsaimniekošanas reģionu finansējuma kvotām ir iespējams arī vienas atlases ietvaros katrā kārtā, tāpēc nav nepieciešams pasākuma 2. un 3. kārtas atlases organizēt vairākos uzsaukumos.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MK noteikumu anotācijā sniegt skaidrojumu par situācijām, kad nepieciešamības gadījumā pasākuma 2. kārtas atlases ietvaros var tikt organizēti vairāki uzsaukumi, savukārt pasākuma 3. kārtā neparedzēt uzsaukumus, bet gan garāku projektu iesniegšanas laiku, kad atbilstoši MK noteikumu 10. punktam sadarbības iestāde nosūta uzaicinājumus iesniegt projektu iesniegumus, tiklīdz tiek saņemta informācija no atbildīgās iestādes.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Zane Egle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Ministru kabineta 2023.gada 25.aprīļa noteikumu Nr.205 "Valsts budžeta līdzekļu plānošanas kārtība Eiropas Savienības fondu projektu īstenošanai un maksājumu veikšanai 2021.–2027. gada plānošanas periodā" 10.punkts nosaka, ka sadarbības iestāde, veicot avansa maksājumus, ievēro nosacījumu, ka maksimālais avansa apjoms nevar pārsniegt 30 % no projektam piešķirtā Eiropas Savienības fonda finansējuma, ja vien normatīvajā aktā par specifiskā atbalsta mērķa īstenošanu nav paredzēts citādi. Ņemot vērā to, ka noteikumu projekta 53.2.apakšpunkts paredz avansa apmēru, kas pārsniedz 30 %, lūdzam anotācijā sniegt pamatojumu, kādēļ avanss trešajā kārtā tiek plānots lielāks nekā 30 %, proti, 60 % apmērā.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Gundega Morgana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24-TA-1504</w:t>
    </w:r>
    <w:r>
      <w:br/>
    </w:r>
    <w:r w:rsidR="00000000" w:rsidRPr="00000000" w:rsidDel="00000000">
      <w:rPr>
        <w:rtl w:val="0"/>
      </w:rPr>
      <w:t xml:space="preserve">Izdrukāts 09.12.2024. 15.14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24-TA-1504</w:t>
    </w:r>
    <w:r>
      <w:br/>
    </w:r>
    <w:r w:rsidR="00000000" w:rsidRPr="00000000" w:rsidDel="00000000">
      <w:rPr>
        <w:rtl w:val="0"/>
      </w:rPr>
      <w:t xml:space="preserve">Izdrukāts 09.12.2024. 15.14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Atzinumi_24-TA-1504.docx</dc:title>
</cp:coreProperties>
</file>

<file path=docProps/custom.xml><?xml version="1.0" encoding="utf-8"?>
<Properties xmlns="http://schemas.openxmlformats.org/officeDocument/2006/custom-properties" xmlns:vt="http://schemas.openxmlformats.org/officeDocument/2006/docPropsVTypes"/>
</file>