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iepriekš pausto iebildumu, ka, ņemot vērā to, ka Anotācijas 1.3.sadaļā minēts, ka Noteikumu projekta tvērums paredz izbūvēt arī digitālos informācijas displejus </w:t>
            </w:r>
            <w:r w:rsidR="00000000" w:rsidRPr="00000000" w:rsidDel="00000000">
              <w:rPr>
                <w:u w:val="single"/>
                <w:rtl w:val="0"/>
              </w:rPr>
              <w:t xml:space="preserve">(cita starpā norādot, ka digitālo displeju izvietošana nodrošinās vilcienu kustības digitālā saraksta, reāllaika informācijas,  kā arī citas pasažieriem saistošas informācijas ērtu pieejamību</w:t>
            </w:r>
            <w:r w:rsidR="00000000" w:rsidRPr="00000000" w:rsidDel="00000000">
              <w:rPr>
                <w:rtl w:val="0"/>
              </w:rPr>
              <w:t xml:space="preserve">), lūdzam Anotāciju papildināt ar informāciju, ka</w:t>
            </w:r>
            <w:r w:rsidR="00000000" w:rsidRPr="00000000" w:rsidDel="00000000">
              <w:rPr>
                <w:u w:val="single"/>
                <w:rtl w:val="0"/>
              </w:rPr>
              <w:t xml:space="preserve"> digitālie informācijas displeji atbildīs Preču un pakalpojumu piekļūstamības likumā un pakārtotajos Ministru kabineta noteikumos ietvertajām prasībām </w:t>
            </w:r>
            <w:r w:rsidR="00000000" w:rsidRPr="00000000" w:rsidDel="00000000">
              <w:rPr>
                <w:rtl w:val="0"/>
              </w:rPr>
              <w:t xml:space="preserve">– proti, ka informācija būs uztverama vairāk kā viena sensorā kanāla veidā, attiecīgi tā būs izmantojama personām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izziņā sniegtais skaidrojums (proti, ka digitālo informatīvo displeju ieviešana nav attiecināma uz pasažieru pārvadājumu pakalpojumu) nonāk pretrunā ar Anotācijā norādīto. Ņemot vērā to, ka displeji ir dzelzceļa infrastruktūras sastāvdaļa un to mērķis ir nodrošināt pasažieriem saistošas informācijas ērtu pieejamību, nav pieļaujams, ka publiskajos iepirkumos iepirkti digitālie informācijas displeji neatbilstu piekļūstamības prasībām. Ja piekļūstamības prasības netiks ievērotas, tad pakalpojuma sniedzējs būs pakļauts sankciju mehānismam un korektīvo pasākumu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likuma (stāsies spēkā 2025.gada 28.jūnijā) 3.panta otrās daļas 3.punkts nosaka, ka likumu cita starpā piemēro šādiem dzelzceļa pasažieru pārvadājumu pakalpojumu elementiem - tīmekļvietnēm, mobilajās ierīcēs izmantojamiem pakalpojumiem, elektroniskajām biļetēm, pārvadājumu pakalpojumu informācijas (tai skaitā reāllaika ceļošanas informācijas) sniegšanai un interaktīviem pašapkalpošanās termināļiem. Attiecīgi līdz ar jauno elektrovilcienu iegādi, digitālajiem informācijas displejiem (kas nodrošinās reisu regulārā intervāla grafiku) jāatbilst Preču un pakalpojumu piekļūstamības likumā noteiktajām prasībām. Tāpat, atbilstoši Grozījumiem Sabiedrisko pakalpojumu sniedzēju iepirkumu likumā un Publisko iepirkumu likumā, kas pieņemti Saeimā 2023.gada 16.martā, piekļūstamības prasības attiecībā uz Preču un pakalpojumu piekļūstamības likuma 3. pantā ietvertajām precēm un pakalpojumiem ir obligātas piekļūstamības prasības arī abu iepirkumu likumu izpratnē. Attiecīgi, pēc 2025.gada 28.jūnija publiskajā iepirkumā jāiepērk un pasažieriem jānodrošina piekļūstami digitālie informācijas displeji un pašapkalpošanās termināļi.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03.11.2023.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03.11.2023.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