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noteikumu projekta ietekmi uz Nodarbinātības valsts aģentūras projektu Nr.4.3.3.2/1/24/I/002 "Pasākumi iekļaujošai nodarbinātībai", piemēram, vai būs nepieciešami grozījumi noslēgtajā vienošanās. Gadījumos, kad ierosinātajiem grozījumiem nav ietekmes,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punkta “Risinājuma apraksts” priekšpēdējo rindkopu un 1.6.apakšsadaļas pirmo rindkopu, skaitļa “961” vietā lietojot skaitli “</w:t>
            </w:r>
            <w:r w:rsidR="00000000" w:rsidRPr="00000000" w:rsidDel="00000000">
              <w:rPr>
                <w:b w:val="1"/>
                <w:rtl w:val="0"/>
              </w:rPr>
              <w:t xml:space="preserve">691</w:t>
            </w:r>
            <w:r w:rsidR="00000000" w:rsidRPr="00000000" w:rsidDel="00000000">
              <w:rPr>
                <w:rtl w:val="0"/>
              </w:rPr>
              <w:t xml:space="preserve">”, tādējādi norādot korektu atsauci uz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28. novembra noteikumi </w:t>
            </w:r>
            <w:r w:rsidR="00000000" w:rsidRPr="00000000" w:rsidDel="00000000">
              <w:rPr>
                <w:b w:val="1"/>
                <w:rtl w:val="0"/>
              </w:rPr>
              <w:t xml:space="preserve">Nr. 691</w:t>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(turpmāk – ESF+) projekta (turpmāk – projekts) iesniedzējam, finansējuma saņēmējam un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paredzēta sadarbības partneru iesaiste projektu īstenošanā, tad lūdzam noteikumu projektā  iekļaut finansējuma saņēmēja un sadarbības partnera sadarbības nosacījumus, pienākumus un tiesības, projekta mērķu un rādītāju savstarpējo sasniegšanas dalījumu, proti, ir jābūt pietiekami detalizēti atrunātiem sadarbības aspektiem, t.i., skaidri norādītas sadarbības partnera veicamās darbības un resursi, ar kādiem tas iesaistās projektā vai jānorāda, ka attiecīgie jautājumi tiks regulēti sadarbības līgumā. Vēršam uzmanību, ka arī tad, ja noteikumu projektā ir noteikts, ka tiks slēgts sadarbības līgums, noteikumu projektā ir jāatrunā tā galvenie aspekti (jāuzskaita, kādi jautājumi tiks regulēti sadarbības līgumā – atbildība, funkcijas, utt.). Vienlaikus, izpildot minētās prasības, noteikumu projektā nedublē Ministru kabineta 2023. gada 13. jūlija noteikumu Nr. 408 "Kārtība, kādā Eiropas Savienības fondu vadībā iesaistītās institūcijas nodrošina šo fondu ieviešanu 2021.–2027. gada plānošanas periodā" regulējumu, tostarp to 6. punktā ietvertos nosacījumus par sadarbības līgumā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papildināt Ministru kabineta 2023. gada 28. novembra noteikumu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 (turpmāk - noteikumi Nr. 691) 30. punktu ar paredzamajiem pienākumiem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pasākumi noteiktām personu grupām, tai skaitā darba vietu pielāgošana;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14.1. apakšpunkta redakciju: "</w:t>
            </w:r>
            <w:r w:rsidR="00000000" w:rsidRPr="00000000" w:rsidDel="00000000">
              <w:rPr>
                <w:i w:val="1"/>
                <w:rtl w:val="0"/>
              </w:rPr>
              <w:t xml:space="preserve">pasākumi noteiktām personu grupām, tai skaitā darba vietu pielāgošana</w:t>
            </w:r>
            <w:r w:rsidR="00000000" w:rsidRPr="00000000" w:rsidDel="00000000">
              <w:rPr>
                <w:rtl w:val="0"/>
              </w:rPr>
              <w:t xml:space="preserve">", norādot atsauci uz noteikumu punktu, kurā šīs "noteiktās personu grupas" ir uzskaitītas.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30.11.1. pasākumus interešu konflikta riska kontrolei atbalsta piešķiršanas procedūrā un publiskajos iepirkumos – preventīvus pasākumus un konstatēšanas pasākumus interešu konflikta riska kontrolei, tai skaitā paziņošanas procedūru, labošanas pasākumus, ietverot informāciju par interešu konflikta novēršanu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(turpmāk – regula 2018/1046),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tad lūdzam noteikumu Nr. 691 30.11.1.apakšpunktā un 30.12.apakšpunktā precizēt atsauci,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17.10.2024.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17.10.2024.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Atzinumi_24-TA-1885.docx</dc:title>
</cp:coreProperties>
</file>

<file path=docProps/custom.xml><?xml version="1.0" encoding="utf-8"?>
<Properties xmlns="http://schemas.openxmlformats.org/officeDocument/2006/custom-properties" xmlns:vt="http://schemas.openxmlformats.org/officeDocument/2006/docPropsVTypes"/>
</file>