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Vides trokšņa stratēģisko karšu un rīcības plānu vides trokšņa pārvaldībai izstrādes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30.12.2022.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30.12.2022.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