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šo noteikumu </w:t>
            </w:r>
            <w:r w:rsidR="00000000" w:rsidRPr="00000000" w:rsidDel="00000000">
              <w:rPr>
                <w:rtl w:val="0"/>
              </w:rPr>
              <w:t xml:space="preserve">5.</w:t>
            </w:r>
            <w:r w:rsidR="00000000" w:rsidRPr="00000000" w:rsidDel="00000000">
              <w:rPr>
                <w:rtl w:val="0"/>
              </w:rPr>
              <w:t xml:space="preserve"> punktā minēto reģionu un to pašvaldību, tai skaitā pašvaldību kapitālsabiedrību, kas veic pašvaldības deleģēto pārvaldes uzdevumu izpildi,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7.punkts ir papildināts ar pašvaldību kapitālsabiedrībām kā atbalsta saņēmējiem, un, lai arī anotācijā ir sniegts skaidrojums, ka 6.1.1.8.pasākuma ietvaros tiks īstenots projekts, kas nav saistīts ar saimnieciskās darbības veikšanu un 6.1.1.8.pasākuma ietvaros īstenojamās darbības nav kvalificējamas kā saimnieciskā darbība un komercdarbības atbalsta sniegšana nav paredzēta, lūdzam papildināt anotāciju ar skaidrojumu par to, vai projekta ietvaros pašvaldību kapitālsabiedrībām noteiktie pienākumi izriet no tām noteiktajām valsts pārvaldes funkcijām, kuras ir nesaimnieciska rakstura, tādējādi pamatojot, ka pašvaldību kapitālsabiedrībām plānotais atbalsts nekvalificēsies kā komercdarbības atbalsts. Skaidrojam, ka gadījumā, ja projekta ietvaros pašvaldību kapitālsabiedrībām noteiktie pienākumi neizriet no tām uzlikta valsts pārvaldes uzdevuma, atbalsts tam ir vērtējams komercdarbības atbalsta kontroles kontekstā. Attiecīgi, ja projekta ietvaros pašvaldības kapitālsabiedrībām noteiktie pienākumi skars to saimniecisko darbību (piemēram, tiek sniegti sabiedriskie pakalpojumi), lūdzam papildināt MK noteikumu projektu ar atbilstošiem komercdarbības atbalsta nosacījumiem, kas attiecas uz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28.06.2023. 22.11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28.06.2023. 22.11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