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pirmā daļa nosaka, ka pakalpojumu sniedzēji veic pašizvērtējumu, nosakot savu atbilstību būtiska pakalpojuma sniedzēja vai svarīga pakalpojuma sniedzēja statusam. Vēršam uzmanību, ka ne Likumprojekts, nedz arī Likumprojekta anotācija neparedz skaidrojumu, kas iestādei būtu norādāms pašizvērtējumā (citos Likumprojektā paredzētajos gadījumos iekļaujamās informācijas kopumu nosaka Ministru kabinets). Komentārs par iestādes pašizvērtējumā norādāmo saturu atbilstības statusam īpaši aktuāls, ņemot vērā, ka Likumprojekta 17. un 18.pants jau definē, kas šī likuma izpratnē ir būtiska vai svarīga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Darviņš (ZVA)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subjekts.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uzliek subjektam beznosacījuma pienākumu apmaksāt trešās puses pakalpojumu. Atbilstoši likumprojekta 6.(2).5 īstenot uzraudzības funkcijas ir Aizsardzības ministrijas kompetence un izdevums, līdz ar ko šo funkciju veikšanai ir jābūt finansētai Aizsardzības ministrijas budžeta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neatkarīga auditoru ziņojuma pieprasītājs.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 (NVD)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uzliek papildus pienākums subjektam, kuru nodrošināšanai ir nepieciešami papildus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 (NVD)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Subjekta rīcība kiberincidenta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34.panta trešā daļa paredz, ka “Subjekts mēneša laikā pēc sākotnējā ziņojuma iesniegšanas par nozīmīgu kiberincidentu vai nozīmīga kiberincidenta novēršanas eletroniski iesniedz kompetentajai kiberincidentu novēršanas institūcijai ziņojumu par kiberincidenta novēršanu. Ziņojuma saturu un informēšanas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paredzēt Likumprojekta Pārejas noteikumos termiņu minēto MInistru kabineta noteikumu izdošanai, kā tas ir noteikts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Darviņš (ZVA)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informācijas un komunikācijas tehnoloģiju produktiem un pakalpojumiem publiskā sektora iepirkumos (iekļaujot sertifikāciju, kriptēšanas prasības un atvērtā koda risinājumu 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noteikšana balstoties uz koda atvērtību kā kritēriju var nesasniegt mērķi uzlabot risinājumu drošību. Piedāvātā redakcija iekļauj visu risinājumu un lietojumu kiberdrošības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informācijas un komunikācijas tehnoloģiju produktiem un pakalpojumiem publiskā sektora iepirkumos (iekļaujot sertifikāciju, kriptēšanas prasības un risinājumu lietojumu kiberdrošības aspektus);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 (NVD)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23.12.2022.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23.12.2022.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