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"Par lidojuma veikšanu ar bezpilota gaisa kuģi, neievērojot bezpilota gaisa kuģu sistēmu ģeogrāfisko zonu, kurās lidojumi ir aizliegti vai noteikti lidojumu ierobežojumi, nosacījumus, izņemot šā panta sešpadsmitajā daļā minētos gadījumus, piemēro brīdinājumu vai naudas sodu fiziskajai personai līdz simt četrdesmit naudas soda vienībām, bet juridiskajām personām - līdz četrsimt naudas soda vienībām”;</w:t>
            </w:r>
            <w:r w:rsidR="00000000" w:rsidRPr="00000000" w:rsidDel="00000000">
              <w:rPr>
                <w:rtl w:val="0"/>
              </w:rPr>
              <w:t xml:space="preserve">Par lidojuma veikšanu ar bezpilota gaisa kuģi, neievērojot bezpilota gaisa kuģu sistēmu ģeogrāfisko zonu, kurās transformēta informācija attiecībā uz bezpilota gaisa kuģu lidojumiem gaisa telpas struktūras elementos, kā arī cita attiecināmā aeronavigācijas informācija, kas atbilstoši normatīvajiem aktiem par aeronavigācijas informācijas sagatavošanas un izplatīšanas kārtību ir publicēta aeronavigācijas informācijas produktos un ietekmē bezpilota gaisa kuģu lidojumus, vai kas izveidotas virs citiem aviācijas objektiem un kurās lidojumi ir aizliegti vai noteikti lidojumu ierobežojumi, nosacījumus, piemēro brīdinājumu vai naudas sodu fiziskajai personai līdz divsimt naudas soda vienībām, bet juridiskajai personai — līdz piecsimt naudas soda vienībām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Projektā nav paredzama administratīvā atbildība par lidojuma veikšanu ar bezpilota gaisa kuģi, neievērojot bezpilota gaisa kuģu sistēmu ģeogrāfisko zonu nosacījumus. Administratīvo pārkāpumu var noteikt vienīgi likumdevējs.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iepriekšējā atzinumā bija detalizēti argumentēts, ka administratīvo pārkāpumu var noteikt vienīgi formālais likumdevējs (Saeima). Nav pieļaujams, ka administratīvā pārkāpuma saturu būtībā noteiktu Ministru kabinets, turklāt balstoties uz neatbilstošu pilnvarojumu, vai pat iestāde vai privātpersona.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Ģeogrāfisko zonu un to nosacījumu regulējums nav iekļauts likumā. Ministru kabineta noteikumos atrodams ļoti vispārīgs regulējums, turklāt, vērtējot no sodu tiesību aspekta, Ministru kabinetam nav pienācīga pilnvarojuma regulēt attiecīgos jautājumus. Tā rezultātā ģeogrāfisko zonu nosacījumus, par kuru pārkāpumiem ir paredzēta administratīvā atbildība, būtībā nosaka šādas ģeogrāfiskās zonas noteicējs.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atzinumā bija piedāvāti vairāki iespējamie risinājumi. Pirmkārt, pastāv iespēja projektā detalizēti norādīt pārkāpuma pazīmes, kas jau saturētu konkrētus "nosacījumu" pārkāpumus. Otrkārt, papildināt grozāmo likumu ar atbilstošu attiecīgo jautājumu pamatregulējumu, kā arī precizēt pilnvarojumu Ministru kabinetam. Priekšroka dodama otrajam risinājumam. Pretējā gadījumā projektā ietvertā grozāmā likuma 124.</w:t>
            </w:r>
            <w:r w:rsidR="00000000" w:rsidRPr="00000000" w:rsidDel="00000000">
              <w:rPr>
                <w:vertAlign w:val="superscript"/>
                <w:rtl w:val="0"/>
              </w:rPr>
              <w:t xml:space="preserve">1</w:t>
            </w:r>
            <w:r w:rsidR="00000000" w:rsidRPr="00000000" w:rsidDel="00000000">
              <w:rPr>
                <w:rtl w:val="0"/>
              </w:rPr>
              <w:t xml:space="preserve"> panta 15. un 16. daļa ir izslēdzama.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117.</w:t>
            </w:r>
            <w:r w:rsidR="00000000" w:rsidRPr="00000000" w:rsidDel="00000000">
              <w:rPr>
                <w:vertAlign w:val="superscript"/>
                <w:rtl w:val="0"/>
              </w:rPr>
              <w:t xml:space="preserve">5</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sekretāru sanāksmes 2020. gada 9. janvāra sēdē Tieslietu ministrijai doto uzdevumu (prot. Nr. 2 14. § 2. punkts</w:t>
            </w:r>
            <w:r w:rsidR="00000000" w:rsidRPr="00000000" w:rsidDel="00000000">
              <w:rPr>
                <w:vertAlign w:val="superscript"/>
                <w:rtl w:val="0"/>
              </w:rPr>
              <w:t xml:space="preserve">[1]</w:t>
            </w:r>
            <w:r w:rsidR="00000000" w:rsidRPr="00000000" w:rsidDel="00000000">
              <w:rPr>
                <w:rtl w:val="0"/>
              </w:rPr>
              <w:t xml:space="preserve">), lūdzam izvērtēt un likumprojekta anotācijā skaidrot likumprojekta 3. pantā ietvertā pilnvarojuma atbilstību tiesību akta saturam, kuru paredzēts izdot uz šā pilnvarojuma pamata, ciktāl ar minēto pantu tiek precizēts vai papildināts likuma "Par aviāciju" 117.5 panta trešajā daļā ietvertais pilnvarojums. Skaidrojam, ka likumprojekta 3. pantā ietvertā pilnvarojumā lietotais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 </w:t>
            </w:r>
            <w:r w:rsidR="00000000" w:rsidRPr="00000000" w:rsidDel="00000000">
              <w:rPr>
                <w:vertAlign w:val="superscript"/>
                <w:rtl w:val="0"/>
              </w:rPr>
              <w:t xml:space="preserve">[2]</w:t>
            </w:r>
            <w:r w:rsidR="00000000" w:rsidRPr="00000000" w:rsidDel="00000000">
              <w:rPr>
                <w:rtl w:val="0"/>
              </w:rPr>
              <w:t xml:space="preserve">. Nepieciešamības gadījumā lūdzam precizēt likumprojekta 3.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papildināt likumprojekta anotācijas 4. sadaļu ar skaidrojumu par tiesību aktu (Ministru kabineta noteikumu) projektu, kuru izstrādāšanai paredzēts pilnvarojums likumprojekta 3. pantā, nepieciešamību un būtību.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bscript"/>
                <w:rtl w:val="0"/>
              </w:rPr>
              <w:t xml:space="preserve">[1] http://tap.mk.gov.lv/mk/vsssanaksmes/saraksts/protokols/?protokols=2020-01-09.</w:t>
            </w:r>
            <w:r w:rsidR="00000000" w:rsidRPr="00000000" w:rsidDel="00000000">
              <w:rPr>
                <w:vertAlign w:val="subscript"/>
                <w:rtl w:val="0"/>
              </w:rPr>
              <w:t xml:space="preserve">[2] Satversmes tiesas 2011. gada 6. maija spriedums lietā Nr. 2010-57-03, 13.3.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“117.</w:t>
            </w:r>
            <w:r w:rsidR="00000000" w:rsidRPr="00000000" w:rsidDel="00000000">
              <w:rPr>
                <w:vertAlign w:val="superscript"/>
                <w:rtl w:val="0"/>
              </w:rPr>
              <w:t xml:space="preserve">5</w:t>
            </w:r>
            <w:r w:rsidR="00000000" w:rsidRPr="00000000" w:rsidDel="00000000">
              <w:rPr>
                <w:rtl w:val="0"/>
              </w:rPr>
              <w:t xml:space="preserve"> pants. Bezpilota gaisa kuģu jomas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Civilās aviācijas aģentūra izveido, uztur un pilnveido bezpilota gaisa kuģu jomas reģistru. Reģistrā ietver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bezpilota gaisa kuģu sistēmu ekspluatantiem;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bezpilota gaisa kuģiem, kuri tiek izmantoti lidojumiem atvērtajā un specifiskajā kategorijā;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bezpilota gaisa kuģiem, kuri pakļauti sertificēšanai, regulas Nr. 2019/947 14.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tālvadības pilotiem;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gaisa kuģu modeļu klubiem un apvienībām;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Civilās aviācijas aģentūras atzītajām struktūrām bezpilota gaisa kuģu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bezpilota gaisa kuģu sistēmu ģeogrāfiskajām zonām;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bezpilota gaisa kuģu lidojumu pieteikumiem un saskaņojumiem bezpilota gaisa kuģu sistēmu ģeogrāfiskajās zonās, kas nav “U-space” pakalpojums Komisijas 2021. gada 22. aprīļa Īstenošanas regulas (ES) 2021/664 par “U-space” tiesisko regulējumu 10.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Bezpilota gaisa kuģu sistēmu ekspluatantam, tālvadības pilotam, gaisa kuģu modeļu klubam vai apvienībai, Civilās aviācijas aģentūras atzītajai struktūrai bezpilota gaisa kuģu jomā un bezpilota gaisa kuģu sistēmu ģeogrāfiskās zonas ierosinātājam ir pienākums sniegt un atjaunot bezpilota gaisa kuģu jomas reģistrā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bezpilota gaisa kuģu jomas reģistra izveidošanas, uzturēšanas, pieejamības, savietojamības un darbības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kārtību, kādā šā panta otrajā daļā minētie subjekti sniedz un atjauno bezpilota gaisa kuģu jomas reģistrā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sniedz un atjauno informāciju par bezpilota gaisa kuģiem, kuri pakļauti sertificēšanai;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kārtību, kādā bezpilota gaisa kuģu jomas reģistrā saglabā informāciju par bezpilota gaisa kuģu sistēmu ģeogrāfiskajām zonām;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kārtību, kādā bezpilota gaisa kuģu jomas reģistrā saglabā informāciju par bezpilota gaisa kuģu lidojumu pieteikumiem un saskaņojumiem bezpilota gaisa kuģu sistēmu ģeogrāfiskajās zonās, kas nav “U-space” pakalpojums Komisijas 2021. gada 22. aprīļa Īstenošanas regulas (ES) 2021/664 par “U-space” tiesisko regulējumu 10.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kārtību, kādā no bezpilota gaisa kuģu jomas reģistra tiek izslēgta šā panta pirmajā daļā norādītā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Projekta 3. un 4. pantā iekļautais Bezpilota gaisa kuģu informācijas sistēmas un bezpilota gaisa kuģu jomas reģistra regulējums nerada sistēmiski skaidru priekšstatu par minētās informācijas sistēmas un reģistra savstarpējo saistību un to statusu (projekta 3. un 4.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bezpilota gaisa kuģu jomas reģistrs ir Bezpilota gaisa kuģu informācijas sistēmas sastāvdaļa, tad nav nepieciešams atsevišķi un detalizēti projektā norādīt, ka Civilās aviācijas aģentūra "izveido, uztur un pilnveido bezpilota gaisa kuģu jomas reģistru". Tas drīzāk liecina, ka minētais reģistrs ir paredzēts nošķirta (atsevišķa) pārvaldes uzdevuma īstenošanai un ir patstāvīga valsts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anotācijā iekļaujams skaidrojums, ka projekta 4. punktā minētais paziņošanas regulējums neattiecas uz administratīvā pārkāpuma procesu. Nozares likumā dokumentu (informācijas) paziņošanas administratīvā pārkāpuma procesā regulējumu nemaz nav pieļaujams iekļaut (Administratīvās atbildības likuma 2. panta otrā un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Projektā paredzētais regulējums skar fizisku personu datu apstrādes jautājumus. Aicinām izvērtēt nepieciešamību projektu saskaņot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likumprojekta anotācijas 5. sadaļā veiktos precizējumus, nodrošinot precīzu likumprojekta atbilstības Latvijas Republikas starptautiskajām saistībām atspoguļojumu. Vēršam uzmanību, ka pēc veiktajiem precizējumiem anotācijas 5.4. apakšsadaļas 1. tabulā tiek norādīts nevis uz visu  Komisijas 2019. gada  24. maija Īstenošanas regulas (ES) 2019/947 par bezpilota gaisa kuģu ekspluatācijas noteikumiem un procedūrām (turpmāk - Regula 2019/947) 15. panta ieviešanu, bet tikai uz tā pirmo un trešo punktu. Norādām, ka anotācijas 5.4. apakšsadaļā, domājams, saglabājama norāde uz visām iepriekš minētās regulas 15. panta vienībām, jo likumprojekts, šķietami, ievieš arī tā 2. punktu. Vēršam uzmanību, ka Regulas 2019/947 15. panta 2. punkts papildus skaidrojams arī anotācijas 5.4. apakšsadaļas 1. tabulas rīcības brīvības sadaļā, ņemot vērā no šī punkta izrietošo rīcības brīvību  dalībvalstīm “noteikt konkrētas ģeogrāfiskās zonas, kurās UAS operācijām nepiemēro vienu vai vairākas “atklāto” operāciju kategorijai piemērojamās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Regulas 2019/947 UAS.OPEN.060. punkta 2) apakšpunkta a) punkts nav ieviests likumprojekta 2. un 9. pantā (likuma "Par aviāciju" 117.1 panta 4. daļa un 124.1 panta 8. daļa). Proti, nosakot, ka bezpilota gaisa kuģu personālam ir aizliegts atteikties no medicīniskās pārbaudes un paredzot atbildību par atteikšanos no medicīniskās pārbaudes alkohola koncentrācijas vai narkotisko, psihotropo, toksisko vai citu apreibinošo vielu ietekmes noteikšanai šķietami, pastarpināti, tiek nodrošināta no minētās regulas izrietošās prasības, aizlieguma tālvadības pilotam pildīt pienākumus psihoaktīvu vielu ietekmē vai alkohola reibumā, kontrole. Nepieciešamības gadījumā lūdzam veikt attiecīgus papildinājumus anotācijas 5.4. apakšsadaļas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lūdzam likumprojekta anotācijas 5. sadaļā skaidrot arī pamatojumu Regulas 2019/947 14. panta 9. punktā ietvertās rīcības brīvības izmantošanai vai neizmantošanai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02.08.2024.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02.08.2024.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Atzinumi_24-TA-418.docx</dc:title>
</cp:coreProperties>
</file>

<file path=docProps/custom.xml><?xml version="1.0" encoding="utf-8"?>
<Properties xmlns="http://schemas.openxmlformats.org/officeDocument/2006/custom-properties" xmlns:vt="http://schemas.openxmlformats.org/officeDocument/2006/docPropsVTypes"/>
</file>