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ilgtermiņa tematiskā plānojuma Baltijas jūras piekrastes publiskās infrastruktūras attīstībai īstenošanas 2020.-2023. gadā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apakšnodaļā "Sociālie un ekonomiskie procesi" norādīts, ka piekrastes plānojumā ir noteiktas šādas tautsaimniecības nozaru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Tūrisms un atpūtas organizēšana, ietverot kūrortsaimniecību;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Ostu darbība, iekļaujot jahtu uzņemšanu un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Zvejniecība, zivju apstrāde, īpaši tās tradicionālie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Atjaunojamo enerģijas resursu (vēja, ūdens, viļņu, biomasas u.c.)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apakšnodaļā ir sniegta detalizēta informācija par tūrismu, piekļūstamību pludmalei un jūrai, operatīvo dienestu piekļuve jūrai, mazajām ostām un zvejniecību, bet trūkst informācijas par atjaunīgo enerģijas resursu izmantošanu. Līdz ar to informatīvais ziņojums būtu papildināms ar aprakstu par situāciju atjaunīgās enerģijas jomā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27.01.2025.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27.01.2025.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Atzinumi_24-TA-3264.docx</dc:title>
</cp:coreProperties>
</file>

<file path=docProps/custom.xml><?xml version="1.0" encoding="utf-8"?>
<Properties xmlns="http://schemas.openxmlformats.org/officeDocument/2006/custom-properties" xmlns:vt="http://schemas.openxmlformats.org/officeDocument/2006/docPropsVTypes"/>
</file>