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2.6.1.2. pasākuma "Enerģētiskās drošības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"Sociālekonomiskais pamatojums 2.6.1.2. pasākumam “Enerģētiskās drošības infrastruktūras attīstība”" nepieciešami precizējumi. Attiecībā uz divu mobilo apakšstaciju projektu ir ietverta atsauce uz citu projektu, kas nav pievienots anotācijas materiāliem, līdz ar to nav iespējams pārliecināties par izmantoto datu pamatotību. Tāpat no apraksta nav pietiekami skaidrs, kādā veidā noteikts sociālekonomiskais ieguvums 47 milj. euro vai 37 milj. euro apmērā, kā arī uz kādiem datiem šie aprēķini balstīti un no kā izriet tieši šādu summu noteikšana. Vienlaikus vēršam uzmanību, ka minētie ieguvumi ir vērtēti attiecībā pret 18 milj. euro investīcijām, nevis pret visu 2.6.1.2. pasākuma kopējo finansējumu, līdz ar to var secināt, ka nav veikts visa pasākuma sociālekonomiskās lietderības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paplašināt sociālekonomisko ieguvumu aprēķinu, attiecinot to uz visām plānotajām investīcijām (36 milj. euro), kā arī detalizēti norādīt, kā ieguvumi ir noteikti, tostarp: kādi dati izmantoti, kāds ir pieņemtais dzīves cikla ilgums un kādas formulas piemērotas ieguvumu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tas ir ērtāk, iespējams saglabāt pašreizējo pieeju, sniedzot informāciju atsevišķi par katru no trim projektiem, norādot izmaksas, ieguvumus, to aprēķinu metodiku un datu avotus, vienlaikus pamatojot, ka sociālekonomiskie ieguvumi pārsniedz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attiecīgos precizējumus anotācijas tekstā vai, ja tas ir ērtāk, pievienot arī Excel aprēķinu modeli, nodrošinot izmantoto datu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2030. gada 31. decembrim pasākuma līmenī sasniedzamais rezultāta rādītājs -  elektroapgādes drošuma palielināšana iedzīvotājiem. Rezultāta rādītāja vērtība tiek sasniegta, ja pasākuma ietvaros palielināts elektroapgādes drošums 1 860 565 iedzīvotājiem.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detalizētu pamatojumu, kāpēc ir nepieciešams 2.6.1.2. pasākuma "Enerģētiskās drošības infrastruktūras attīstība" projekta īstenošanas termiņa pagarinājums līdz 2030. gada 31. decembrim, norādot konkrētus iemeslus un apstākļus, kuru dēļ projektu izpildi nebūs iespējams nodrošināt sākotnēji plānotajā termiņā. Vienlaikus lūdzam skaidrot vai un kā konkrētais termiņa pagarinājums ietekmēs līdz šim plānotās budžeta prognozes, vai ir veikts šādas ietekmes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Akciju sabiedrība "Sadales tīkls" kā finansējuma saņēmējs projektu var īstenot kopā ar sadarbības partneri –  akciju sabiedrību "Augstsprieguma tīkls", ja tas nepieciešams projekta mērķa sasniegšanai. Atbildību par projekta īstenošanu un mērķa sasniegšanu saglabā finansējuma saņēmējs. Sadarbības partneris ir komersants, ar kuru noslēgts sadarbības līgums un kurš piedalās projekta īstenošanai nepieciešamo darbību ieviešanā, rezultātu sasniegšanā un to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 punkta otro teikumu, ņemot vērā, ka tas dublē Ministru kabineta 2023. gada 13. jūlija noteikumu Nr. 408 "Kārtība, kādā Eiropas Savienības fondu vadībā iesaistītās institūcijas nodrošina šo fondu ieviešanu 2021.–2027. gada plānošanas periodā" (turpmāk - noteikumi Nr. 408) 3.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noteikumu projektā noteikt, kad tiek slēgts sadarbības līgums (piemēram, to noslēdz pirms projekta iesnieguma iesniegšanas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būvdarbu un pakalpojumu līgumu izmaksas, iekārtu iegādes un piegādes līgumu izmaksas, garantijas apkalpošanas izmaksas, izņemot šo noteikumu 18.1. apakšpunktā minētās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anotācijā detalizēti skaidrot, kādas darbības un attiecināmās izmaksas tiek paredzētas ar "garantijas apkalpošanas izmaksas". Uzturēšanas izmaksas, kas nav saistītas ar projekta mērķa un rādītāju sasniegšanu, nav attiecināmas (noteikumu projekta 25.6. apakšpunktā noteikts, ka ilgtspēju nodrošina pēc projekta pabeigšanas no saviem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izmaksas, kas saistītas ar būves nodošanu ekspluatācijā, tai skaitā teritorijas labiekārtošanas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formulējums joprojām neparedz, kādā apmērā izmaksas par labiekārtošanu tiks attiecinātas. Lūdzam papildināt ar “...ja tas nepieciešams objekta nodošanai ekspluatācijā". Nepieciešams skaidri norādīt, ka nav attiecināmi labiekārtošanas darbi, kam nav tieša saistība ar projekta mērķu un rezultātu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izmaksas, kas saistītas ar būves nodošanu ekspluatācijā, tai skaitā teritorijas labiekārtošanas izmaksas, ja tas nepieciešams objekta nodošanai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neparedzētie izdevumi, kas nepārsniedz piecus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18.4., 18.5. apakšpunktos),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 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w:t>
            </w:r>
            <w:r w:rsidR="00000000" w:rsidRPr="00000000" w:rsidDel="00000000">
              <w:rPr>
                <w:b w:val="1"/>
                <w:rtl w:val="0"/>
              </w:rPr>
              <w:t xml:space="preserve">plānotajām </w:t>
            </w:r>
            <w:r w:rsidR="00000000" w:rsidRPr="00000000" w:rsidDel="00000000">
              <w:rPr>
                <w:rtl w:val="0"/>
              </w:rPr>
              <w:t xml:space="preserve">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Timermane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pasākuma ietvaros, finansējuma saņēmējs un sadarbības partneris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ir svītrots sākotnēji plānotais 23.4. apakšpunkts (1.0. redakcijā), kas paredzēja, ka finansējuma saņēmējs nodrošina komunikācijas un vizuālās identitātes prasību pasākumus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noteikumu projektā attiecīgo normu, tostarp ņemot vērā, ka minētā pienākuma īstenošanai noteikumu projekta 19.2. apakšpunktā plānotas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attiecināmas ir tikai izmaksas, kas saistītas ar obligāto komunikācijas un vizuālās identitātes prasību nodrošināšanu. Gadījumā, ja tiek plānotas arī papildu komunikācijas un vizuālās identitātes pasākumu īstenošanas izmaksas, tām jābūt skaidri norādītām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noteikumu projektu, ņemot vērā, ka noteikumu projekta 25.5. un 25.6. apakšpunkts savstarpēji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papildus šo noteikumu 25. punktā minētajiem pienākumiem, kontrolē šo noteikumu 14. punktā minēto sadarbības līgumu izpildi un nodrošina, lai vienas un tās pašas darbības netiktu finansētas dubultā.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 punktu. Vēršam uzmanību, ka punktā noteiktais finansējuma saņēmēja pienākums kontrolēt sadarbības līguma izpildi izriet no noteikumu Nr. 408 3. punkta ievaddaļas un 5.1. apakšpunkta, savukārt pienākums nodrošināt, lai vienas un tās pašas darbības netiktu finansētas dubultā, jau izriet no noteikumu projekta 25.4. un 25.7.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14. punktā minētajā sadarbības līgumā iekļauj vismaz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ņemot vērā to, ka sadarbības līgumā iekļaujamās minimālās prasības paredz noteikumu Nr. 408 6. punkts, lūdzam papildināt noteikumu projekta 28. punkta ievaddaļu aiz vārda "iekļauj" ar vārdiem un skaitļiem "informāciju atbilstoši normatīvajiem aktiem par kārtību, kādā Eiropas Savienības fondu vadībā iesaistītās institūcijas nodrošina šo fondu ieviešanu 2021.–2027. gada plānošanas periodā, kā arī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noteikumu projekta 28.1. apakšpunktu, ņemot vērā, ka tas dublē noteikumu Nr. 408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14. punktā minētajā sadarbības līgumā iekļauj </w:t>
            </w:r>
            <w:r w:rsidR="00000000" w:rsidRPr="00000000" w:rsidDel="00000000">
              <w:rPr>
                <w:u w:val="single"/>
                <w:rtl w:val="0"/>
              </w:rPr>
              <w:t xml:space="preserve">informāciju atbilstoši normatīvajiem aktiem par kārtību, kādā Eiropas Savienības fondu vadībā iesaistītās institūcijas nodrošina šo fondu ieviešanu 2021.–2027. gada plānošanas periodā, kā arī paredz</w:t>
            </w:r>
            <w:r w:rsidR="00000000" w:rsidRPr="00000000" w:rsidDel="00000000">
              <w:rPr>
                <w:rtl w:val="0"/>
              </w:rPr>
              <w:t xml:space="preserve"> vismaz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"Projekta īstenošanas nosacījumi" rindkopu par tiesībām energoapgādes komersantu objektu ierīkošanai izmantot jebkuru zemi lūdzam papildināt ar nosacījumu, ka izmaksas (vienreizēja samaksa īpašniekam) par zemes izmantošanu nav uzskatāmas kā projekta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“Tiesību akta projekta ietekme uz valsts budžetu un pašvaldību budžetiem” 6.punktā “6. Detalizēts ieņēmumu un izdevumu aprēķins (ja nepieciešams, detalizētu ieņēmumu un izdevumu aprēķinu var pievienot anotācijas (ex-ante) pielikumā)” norādītais indikatīvais finansējuma sadalījums pa gadiem neveido kopējo 2.6.1.2. pasākumam "Enerģētiskās drošības infrastruktūras attīstība" pieejamo finansējuma apmēru 36 470 589 euro apmērā,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24.02.2026.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24.02.2026.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Atzinumi_25-TA-1669.docx</dc:title>
</cp:coreProperties>
</file>

<file path=docProps/custom.xml><?xml version="1.0" encoding="utf-8"?>
<Properties xmlns="http://schemas.openxmlformats.org/officeDocument/2006/custom-properties" xmlns:vt="http://schemas.openxmlformats.org/officeDocument/2006/docPropsVTypes"/>
</file>