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Melīdas ielā 11–79,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akts par nekustamā īpašuma ņemšanu valsts uzskaitē)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domes lēmums par īpašuma pārņemšanu)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būvju īpašumu)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likumam "Par atjaunotā Latvijas Republikas 1937.gada Civillikuma ievada, mantojuma tiesību un lietu tiesību daļas spēkā stāšanās laiku un piemērošanas kārtību" papildināt anotāciju ar informāciju par zemes likumisko tiesību nodibināšanu starp dzīvokļa īpašnieku un zemes īpašnieku.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apgabaltiesas zvērinātas notāres L.Lapiņas 2021. gada 11.augusta notariālo aktu “Par mantojuma lietas izbeigšanu”, kas iereģistrēts aktu un apliecinājumu reģistrā ar Nr.2018, dzīvoklis Melīdas ielā 11 - 79, Rīgā ir atzīts par </w:t>
            </w:r>
            <w:r w:rsidR="00000000" w:rsidRPr="00000000" w:rsidDel="00000000">
              <w:rPr>
                <w:u w:val="single"/>
                <w:rtl w:val="0"/>
              </w:rPr>
              <w:t xml:space="preserve">bezmantinieku mantu</w:t>
            </w:r>
            <w:r w:rsidR="00000000" w:rsidRPr="00000000" w:rsidDel="00000000">
              <w:rPr>
                <w:rtl w:val="0"/>
              </w:rPr>
              <w:t xml:space="preserve"> un saskaņā ar Civillikuma 416.pantu piekrīt valstij.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anotācijas 6.punkta otrajā teikumā aizstāt vārdus “noziedzīgi iegūtu mantu” 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Avena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w:t>
    </w:r>
    <w:r>
      <w:br/>
    </w:r>
    <w:r w:rsidR="00000000" w:rsidRPr="00000000" w:rsidDel="00000000">
      <w:rPr>
        <w:rtl w:val="0"/>
      </w:rPr>
      <w:t xml:space="preserve">Izdrukāts 27.02.2024.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w:t>
    </w:r>
    <w:r>
      <w:br/>
    </w:r>
    <w:r w:rsidR="00000000" w:rsidRPr="00000000" w:rsidDel="00000000">
      <w:rPr>
        <w:rtl w:val="0"/>
      </w:rPr>
      <w:t xml:space="preserve">Izdrukāts 27.02.2024.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Atzinumi_24-TA-275.docx</dc:title>
</cp:coreProperties>
</file>

<file path=docProps/custom.xml><?xml version="1.0" encoding="utf-8"?>
<Properties xmlns="http://schemas.openxmlformats.org/officeDocument/2006/custom-properties" xmlns:vt="http://schemas.openxmlformats.org/officeDocument/2006/docPropsVTypes"/>
</file>