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7. janvāra noteikumos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 finansējuma saņēmēji tiks informēti par izmaiņām infrastruktūras izmantošanas proporcijas aprēķina iesniegšanas nosacījumos un vai būs nepieciešami grozījumi arī noslēgtajos līgumos vai vienošanās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Ar komercdarbības atbalsta saņemšanu saistītie nosacījumi, ja komercdarbības atbalsts tiek piešķirts kā atbalsts sabiedrisko pakalpojumu 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2025. gada 16. decembrī Eiropas Komisija ir pieņēmusi jaunu komercdarbības atbalsta regulējumu -  Komisijas lēmumu Nr. (ES) 2025/2630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w:t>
            </w:r>
            <w:r w:rsidR="00000000" w:rsidRPr="00000000" w:rsidDel="00000000">
              <w:rPr>
                <w:rtl w:val="0"/>
              </w:rPr>
              <w:t xml:space="preserve">, kas stājās spēkā 2026. gada 8. janvārī, lūdzam izvērtēt grozījumu veikšanas nepieciešamību šajos noteikumos attiecībā uz piemērojamiem nosacījumiem pakalpojumiem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projektam pievieno pilnvarojuma uzlicēja apliecinājumu, ka tas kontrolēs un regulāri, bet ne retāk kā reizi trijos gados pārskatīs šo noteikumu </w:t>
            </w:r>
            <w:r w:rsidR="00000000" w:rsidRPr="00000000" w:rsidDel="00000000">
              <w:rPr>
                <w:rtl w:val="0"/>
              </w:rPr>
              <w:t xml:space="preserve">36.6.</w:t>
            </w:r>
            <w:r w:rsidR="00000000" w:rsidRPr="00000000" w:rsidDel="00000000">
              <w:rPr>
                <w:rtl w:val="0"/>
              </w:rPr>
              <w:t xml:space="preserve"> apakšpunktā minētos deleģēšanas līgumā paredzētos atlīdzības (kompensācijas) maksājumus, kā arī novērsīs un regulāri, bet ne retāk kā reizi trijos gados un pilnvarojuma akta darbības perioda beigās atgūs deleģēšanas līgumā paredzēto atlīdzības (kompensācijas) maksājumu pārmaksu.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administratīvā sloga samazināšanas pasākumus CFLA, kur vairs netiek pieprasīts iesniegt CFLA pilnvarojuma uzlicēja apliecinājumu par līgumā paredzētās atlīdzības (kompensācijas) maksājumu kontroli, lūdzam šo punktu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Akmentiņa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ja attiecināms, nodrošina horizontālā principa "Vienlīdzība, iekļaušana, nediskriminācija un pamattiesību ievērošana" īstenošanu un uzkrāj datus par šādiem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projektu iesniegumu vērtēšanas kritērijus un to piemērošanas metodikā norādīto, aicinām izvērtēt iespēju papildināt noteikumus ar 56.2.3. apakšpunktu: “konsultatīva rakstura pasākumu skaits par būvētās vides, IT risinājumu, IT tehnoloģiju piekļūstamību personām ar dažādiem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Baltace-Saukāne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25-TA-2882</w:t>
    </w:r>
    <w:r>
      <w:br/>
    </w:r>
    <w:r w:rsidR="00000000" w:rsidRPr="00000000" w:rsidDel="00000000">
      <w:rPr>
        <w:rtl w:val="0"/>
      </w:rPr>
      <w:t xml:space="preserve">Izdrukāts 16.01.2026. 20.43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25-TA-2882</w:t>
    </w:r>
    <w:r>
      <w:br/>
    </w:r>
    <w:r w:rsidR="00000000" w:rsidRPr="00000000" w:rsidDel="00000000">
      <w:rPr>
        <w:rtl w:val="0"/>
      </w:rPr>
      <w:t xml:space="preserve">Izdrukāts 16.01.2026. 20.43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Atzinumi_25-TA-2882.docx</dc:title>
</cp:coreProperties>
</file>

<file path=docProps/custom.xml><?xml version="1.0" encoding="utf-8"?>
<Properties xmlns="http://schemas.openxmlformats.org/officeDocument/2006/custom-properties" xmlns:vt="http://schemas.openxmlformats.org/officeDocument/2006/docPropsVTypes"/>
</file>