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2029. gada 31. decembrim pasākumu ietvaros sasniedzamais rezultāta nacionālais rādītājs – vismaz 30 % primārās enerģijas ietaupījumu no attiecīgās pasākumu ietvaros atbalstītās ēkas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noteikt, ka sasniedzamo rādītāju – 30% primārās enerģijas ietaupījumu nosaka ievērojot to, kā ir bijis iesniegts projekts (skat 19. punktu). Proti vai nu pasākumu ietvaros atbalstītās ēkas vai kopējas ēku grupas, kas atrodas vienā adresē, vai ēku grupas, kas atrodas dažādās adresēs, ja tās ir funkcionāli saistītas, vai vienas iestādes vairākām filiālēm.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2029. gada 31. decembrim pasākumu ietvaros sasniedzamais rezultāta nacionālais rādītājs – vismaz 30 % primārās enerģijas ietaupījumu no attiecīgās pasākumu ietvaros atbalstītās ēkas vai kopējas ēku grupas, kas atrodas vienā adresē, vai ēku grupas, kas atrodas dažādās adresēs, ja tās ir funkcionāli saistītas, vai vienas iestādes vairākām filiālēm, atbilstoši tam, kā finansējuma saņēmējs ir iesniedzis projektu, primārās enerģijas patēriņa pirms projekta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Sadarbības partneris var īstenot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17. punktu ar apakšpunktu, kas paredz sadarbības partnerim slēgt arī pakalpojumu līgumus projekta mērķu sasniegšanai. No pašreizējās redakcijas viennozīmīgi nevar izsecināt, ka sadarbības partneris to drīkstēs darīt.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17.X. Pakalpojumu līgumu slēgšana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papildināt 17.9.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projekta ietvaros slēgt preču piegādes un vai pakalpojumu sniegšanas līgumus, veikt to izpildes kontroli un izmaksas attaisnojošās dokumentācijas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nodokļi un nodevu maksājumi, izņemot šo noteikumu </w:t>
            </w:r>
            <w:r w:rsidR="00000000" w:rsidRPr="00000000" w:rsidDel="00000000">
              <w:rPr>
                <w:rtl w:val="0"/>
              </w:rPr>
              <w:t xml:space="preserve">25.</w:t>
            </w:r>
            <w:r w:rsidR="00000000" w:rsidRPr="00000000" w:rsidDel="00000000">
              <w:rPr>
                <w:rtl w:val="0"/>
              </w:rPr>
              <w:t xml:space="preserve">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formulējuma sanāk ka nodevas, kas saistītas ar būvniecības procesu, finansējuma saņēmējam ir jāsedz no saviem līdzekļiem, kas, lai arī tās nav lielas, nav īsti pareizi. Piedāvājam savu redakciju, bet iespējams var arī vispārināt ka valsts/pašvaldības nodevas, kas saistītas ar būvniecibas proecesu ir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nodokļi un nodevu maksājumi, izņemot šo noteikumu 24.3. apakšpunktā un 25.punktā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Bluķis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02.08.2024.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02.08.2024.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