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14. jūlija noteikumos Nr. 445 "Kārtība, kādā iestādes ievieto informāciju internetā"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ieskatā anotācijā nav pietiekami izvērtēta regulējuma praktiskā īstenošana iestādēs, kurās grāmatvedības funkcijas tiek nodrošinātas centralizēti. Normatīvā akta izpildes nodrošināšanai informāciju izgūsim no Valsts kases grāmatvedības informācijas sistēmās, tādēļ projektā paredzētais pienākums katrai iestādei individuāli apkopot un publicēt šos datus radīs nepamatotu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 būtu iespējams sasniegt efektīvāk, paredzot datu publicēšanu un administrēšanu centralizēti, izmantojot jau valsts pārvaldes rīcībā esošos datus. Šāda pieeja atbilstu labas pārvaldības un valsts pārvaldes efektivitātes principiem, novērstu vienu un to pašu datu atkārtotu apstrādi vairākās iestādēs, nodrošinātu vienotu publicētās informācijas kvalitāti un samazinātu administratīvās izmaksas, ļaujot racionālāk izmantot valsts budžeta un cilvēkresursus.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Barba Krišjāne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21.07.2026. 17.47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21.07.2026. 17.47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Atzinumi_26-TA-1540.docx</dc:title>
</cp:coreProperties>
</file>

<file path=docProps/custom.xml><?xml version="1.0" encoding="utf-8"?>
<Properties xmlns="http://schemas.openxmlformats.org/officeDocument/2006/custom-properties" xmlns:vt="http://schemas.openxmlformats.org/officeDocument/2006/docPropsVTypes"/>
</file>