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t.sk. groza noteikumu 25.1.apakšpunktu (fiskālo marķieri).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26. punkts noteic, ka dīzeļdegvielas iezīmēšanu (marķēšanu) ar šo noteikumu 25. punktā noteikto fiskālo marķieri un krāsvielu veic saskaņā ar normatīvajiem aktiem par kārtību, kādā atsevišķiem naftas produktiem piemēro samazinātu akcīzes nodokļa likmi vai atbrīvojumu no akcīzes nodokļa, iesniedzot attiecīgu apliecinājuma dokumentu vai atbilstības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 ir iesniegusi Valsts kancelejā Ministru kabineta noteikumu projektu "Grozījumi Ministru kabineta 2007. gada 31. jūlija noteikumos Nr. 525 "Kārtība, kādā atsevišķiem naftas produktiem piemēro samazinātu akcīzes nodokļa likmi vai atbrīvojumu no akcīzes nodokļa""  (23-TA-1874), kuros ir paredzēts pārejas periods fiskālā marķiera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novērstu interpretācijas un neskaidrības, lūdzam anotācijā skaidrot, ka pārejas periods, kas noteikts 525.noteikumu grozījumos, ir attiecināms arī uz 194.noteikumu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09.10.2023.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09.10.2023.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Atzinumi_23-TA-1414.docx</dc:title>
</cp:coreProperties>
</file>

<file path=docProps/custom.xml><?xml version="1.0" encoding="utf-8"?>
<Properties xmlns="http://schemas.openxmlformats.org/officeDocument/2006/custom-properties" xmlns:vt="http://schemas.openxmlformats.org/officeDocument/2006/docPropsVTypes"/>
</file>