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nesaskan ar panākto vienošanos 9.jūlija saskaņošanas sanāksmē starp EM, FM un CFLA un līdz ar to ņemot vērā noteikumu projekta konceptuālās jaunās izmaiņas, kas paredz pilnīgi jauna apjoma iesaisti no Aizsardzības ministrijas puses, lūdzam pirms nākamās saskaņošanas reizes organizēt kopīgu tikšanos ar iesaistītajām institūcijām, tai skaitā Aizsardzības ministriju, lai vienotos par skaidru projektu vērtēšanas kārtības atbildības sadalījumu, tai skaitā, izrunājot minētā procesa interešu konflikta uzraudzības riskus. Par minēto tai skaitā ir pausta arī iniciatīva no Ekonomikas ministrijas puses  š.g.19.jūlija tiešsaistes tikšanās laikā starp EM, FM un CFLA. Papildus vēršam uzmanību, ka šobrīd ir pretrunīga informācija par projektu vērtēšanas procesa plānoto kārtību noteikumu projektā un noteikumu projekta anotācijā, kas liedz saskaņot skaidru vērtēšanas konceptu.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mērķis neatbilst Kohēzijas Politikas programmā 2021.-2027.gadam (turpmāk- KPP) noteiktajam attiecībā uz atbalsta koncentrēšanu aizsardzības un drošības jomā. Ņemot vērā to, ka šobrīd tiek veikti grozījumi KPP, lūdzam EM iesūtīt priekšlikumu KPP 76.paragrāfa grozījumam, norādot, ka cita starpā atbalsts tiks nodrošināts jaunu un inovatīvu produktu izstrādei, t.sk. digitalizācijas un</w:t>
            </w:r>
            <w:r w:rsidR="00000000" w:rsidRPr="00000000" w:rsidDel="00000000">
              <w:rPr>
                <w:u w:val="single"/>
                <w:rtl w:val="0"/>
              </w:rPr>
              <w:t xml:space="preserve"> aizsardzības un 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pasākuma mērķa formulējumā iekļaut nosacījumu par projektu atbilstību RIS3 jomām, lai nodrošinātu atbilstību Kohēzijas Politikas programmas 75.paragrafā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"produkts" mārketinga teorijā aptver gan preces, gan pakalpojumus, tāpēc lietojot terminu "produkts", nav atsevišķi jāizdala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32 001 749 </w:t>
            </w:r>
            <w:r w:rsidR="00000000" w:rsidRPr="00000000" w:rsidDel="00000000">
              <w:rPr>
                <w:i w:val="1"/>
                <w:rtl w:val="0"/>
              </w:rPr>
              <w:t xml:space="preserve">euro </w:t>
            </w:r>
            <w:r w:rsidR="00000000" w:rsidRPr="00000000" w:rsidDel="00000000">
              <w:rPr>
                <w:rtl w:val="0"/>
              </w:rPr>
              <w:t xml:space="preserve">(tai skaitā elastības finansējuma apjoms 5 047 485 </w:t>
            </w:r>
            <w:r w:rsidR="00000000" w:rsidRPr="00000000" w:rsidDel="00000000">
              <w:rPr>
                <w:i w:val="1"/>
                <w:rtl w:val="0"/>
              </w:rPr>
              <w:t xml:space="preserve">euro</w:t>
            </w:r>
            <w:r w:rsidR="00000000" w:rsidRPr="00000000" w:rsidDel="00000000">
              <w:rPr>
                <w:rtl w:val="0"/>
              </w:rPr>
              <w:t xml:space="preserve">), tai skaitā ERAF finansējums 27 201 486 </w:t>
            </w:r>
            <w:r w:rsidR="00000000" w:rsidRPr="00000000" w:rsidDel="00000000">
              <w:rPr>
                <w:i w:val="1"/>
                <w:rtl w:val="0"/>
              </w:rPr>
              <w:t xml:space="preserve">euro </w:t>
            </w:r>
            <w:r w:rsidR="00000000" w:rsidRPr="00000000" w:rsidDel="00000000">
              <w:rPr>
                <w:rtl w:val="0"/>
              </w:rPr>
              <w:t xml:space="preserve">(tai skaitā elastības finansējuma apjoms 4 290 363 </w:t>
            </w:r>
            <w:r w:rsidR="00000000" w:rsidRPr="00000000" w:rsidDel="00000000">
              <w:rPr>
                <w:i w:val="1"/>
                <w:rtl w:val="0"/>
              </w:rPr>
              <w:t xml:space="preserve">euro</w:t>
            </w:r>
            <w:r w:rsidR="00000000" w:rsidRPr="00000000" w:rsidDel="00000000">
              <w:rPr>
                <w:rtl w:val="0"/>
              </w:rPr>
              <w:t xml:space="preserve">) un valsts budžeta līdzfinansējums 4 800 263 euro (tai skaitā elastības finansējuma apjoms 757 122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izvērtēt nepieciešamību pasākuma ietvaros pēc analoģijas ar 2014.-2020.gada plānošanas perioda kompetenču centru atbalsta programmu iezīmēt noteikta apjoma finansējumu katrai no RIS3 jomām, tādējādi nodrošinot, ka atbalsts  komersantiem būs pieejams visās RIS3 jomās bez riska, ka aktīvākie kādas RIS3 jomas komersanti izsmels visu pasākuma finansējumu, savukārt - pārējās jomas nesaņems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projekta iesnieguma vērtēšana var tikt uzsākta uzreiz pēc tā saņemšanas, un lēmumi par projektu iesniegumu apstiprināšanu, apstiprināšanu ar nosacījumu vai noraidīšanu tiek pieņemti projektu iesniegumu iesniegšanas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sacensību par projekta iesnieguma apstiprināšanu un Eiropas Savienības fonda finansējuma piešķiršanu un atbalstu augstākas kvalitātes projektiem ar pietiekamu gatavības pakāpi, lūdzam svītrot noteikumu projekta 13.3. apakšpunktu. Vēršam uzmanību, ka šājā pasākumā būtu jāparedz, ka projektu iesniegumu vērtēšana tiek uzsākta pēc atlases nolikumā noteiktā projektu iesniegumu iesniegšanas beigu termiņa. Vienlaikus aicinām precizēt noteikumu projekta 13.2.apakšpunktu, paredzot, ka komersants projekta iesniegumu var iesniegt atlases nolikumā noteiktajā kārtībā un termiņā. Vēršam uzmanību, ka nekvalitatīvu un negatavu projektu iesniegšana, kas šāda veida atlasē ir pieredzēta, rada lielu administratīvo slogu, nekvalitatīvu un negatavu projektu iesniegumu vērtēšanas laikā nav iespējams novērtēt projekta vadības un īstenošanas kapacitāti, atbalstāmo darbību un attiecināmo izmaksu atbilstību un pamatotību. Atzīmējam, ka šai atlasei nav piemērojams Atveseļošanas fonda 5.1.1.2.i.investīcijas "Atbalsta instruments pētniecībai un internacionalizācijai" 4. kārtas princips, jo tajā tiek vērtēti projekti, kuriem veikta priekšatlase, tie ir apstiprināti Eiropai svarīgo kopīgo interešu projektos. Kā alternatīvu šobrīd paredzētajai kārtībai, aicinām izvērtēt iespēju, ka līdz noteikumu projekta 64.punktā noteiktajam termiņam tiek paredzēti vairāki projektu iesniegumu atlases uzsaukumi līdz piešķirts viss atlasē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tā apgrozījuma apjoms vidēji pēdējo trīs gadu laikā līdz projekta iesnieguma iesniegšanai vadības informācijas sistēmā ir vismaz divas reizes lielāks kā plānotais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kāpēc noteikumu projekta 14.3.apakšpunkta normas prasība nav attiecināma uz jaunu komersantu, ja noteikumu projekta 15.punktā tieši jaunajam komersantam ir noteikts maksimālie pieļaujamais atbalsta apmērs 300 000 eur apmerā.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nosacījumus starpposma un rezultātu zinātniskās kvalitātes izvērtēšanai iekļaut noteikumu projekta sadaļā “V Projekta īstenošanas un finansējuma saņemšanas nosacījumi", ņemot vērā, ka projektu iesniegumu vērtēšanas komisijas funkcijās neietilpst starpposma un noslēguma zinātniskās kvalitātes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anotācijā iekļaut skaidrojumu par to, kas šī noteikumu projekta izpratnē ir saprotams ar </w:t>
            </w:r>
            <w:r w:rsidR="00000000" w:rsidRPr="00000000" w:rsidDel="00000000">
              <w:rPr>
                <w:u w:val="single"/>
                <w:rtl w:val="0"/>
              </w:rPr>
              <w:t xml:space="preserve">duālas nozīmes</w:t>
            </w:r>
            <w:r w:rsidR="00000000" w:rsidRPr="00000000" w:rsidDel="00000000">
              <w:rPr>
                <w:rtl w:val="0"/>
              </w:rPr>
              <w:t xml:space="preserve"> jaunajiem produktiem, tehnoloģijām un pakalpojumiem aizsardzības un drošības jomā, kā arī sniegt pāris šādu produktu piemērus katrā no RIS3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izvērtēt nepieciešamību pasākuma mērķa formulējumā vārdu savienojumu "duālas nozīmes" aizstāt ar "duāla pielietojuma".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w:t>
            </w:r>
            <w:r w:rsidR="00000000" w:rsidRPr="00000000" w:rsidDel="00000000">
              <w:rPr>
                <w:u w:val="single"/>
                <w:rtl w:val="0"/>
              </w:rPr>
              <w:t xml:space="preserve">pielietojuma</w:t>
            </w:r>
            <w:r w:rsidR="00000000" w:rsidRPr="00000000" w:rsidDel="00000000">
              <w:rPr>
                <w:rtl w:val="0"/>
              </w:rPr>
              <w:t xml:space="preserve">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projekta iesniegumus iesniedz projekta iesniedzējs, kurš pēc projekta iesnieguma apstiprināšanas ir finansējuma saņēmējs,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paredzēts atbalsts duāliem produktiem, kas pielietojami aizsardzības jomā, aicinām izvērtēt iespēju noteikt ierobežojumu, ka projektā uz atbalstu nevar pretendēt uzņēmumi, kas eksportē uz Krieviju un Baltkrieviju.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darba samaksa Darba likuma 59. panta izpratnē, atlīdzība par darba veikšanu tiek noteikta, ņemot vērā darba apjomu un specifiku un tiešās personāla izmaksas iesaistītajiem speciālistiem,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Finanšu ministrijas vadlīniju Nr.1.2. "Vadlīnijas attiecināmo izmaksu noteikšanai Eiropas Savienības kohēzijas politikas programmas 2021.-2027.gada plānošanas periodā" 7.29.apakšpunktā norādītajai 25.zemsvītras atsaucei, piemērojot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ar tiešajām attiecināmajām izmaksām līdz 5 milj. EUR (ieskaitot), tiešajām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projektos tiek plānots projekta vadības personāls, lūdzam attiecīgi papildināt noteikumu projekta redakciju kā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darba samaksa Darba likuma 59. panta izpratnē, atlīdzība par darba veikšanu tiek noteikta, ņemot vērā darba apjomu un specifiku un tiešās personāla izmaksas iesaistītajiem speciālistiem, atbilstoši Komisijas regulas Nr. 651/2014 25. panta 3. punkta "a" apakšpunktam, projekta vadības personāla izmaksām nepārsniedzot 34 422 EUR kalendārajā gadā, pieskaitot 0,64% no projekta tiešajām attiecināmajām izmaksām, neieskaitot tiešās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īstenot sadarbības iestādes apstiprināto projektu, ne retāk kā reizi sešos mēnešos ievietojot savā tīmekļvietnē aktuālo informāciju par projekta īstenošanas gaitu un nodrošinot informācijas un publicitātes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"īstenot sadarbības iestādes apstiprināto projektu", jo minētais punkts ietver finansējuma saņēmēja pienākumu attiecībā uz publicitātes prasībām, līdz ar to nav loģiski iekļaut teikuma pirmo daļu, kas ietver vispārīgu finansējuma saņēmēja pienākumu attiecībā uz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 sagatavot starpposma un noslēguma rezultātu atskaites iesniegšanai zinātniskās kvalitātes izvērtējuma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noteikt minimālo projekta īstenošanas ilgumu projektiem, kuriem veicams starpposma zinātniskās kvalitātes izvērtējums - aicinām noteikt, ka starpposma zinātniskās kvalitātes izvērtējums veicams projektiem, kuru īstenošanas ilgums ir ilgāks kā 12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finansējuma saņēmējs var dalīt avansa maksājumus un saņemt vairākus avansa maksājumus, bet nākamo avansa maksājumu var saņemt pēc tam, kad iepriekšējais ieguldīts pilnā apmērā un ne biežāk kā reizi 6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ierobežojuma piemērošanu, kas paredz, ka finansējuma saņēmējs avansa maksājumus var pieprasīt ne biežāk kā reizi 6 mēnešos - avansa maksājums ir jāizlieto 6 mēnešu periodā, taču, ja tas apgūts ātrāk, tad finansējuma saņēmējam būtu jābūt iespējai pieprasīt nākamo avansa maksājumu arī ātrāk, ja tas nepārsniedz 30% no projektam piešķirtā ERAF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iekļaut noteikumu projektā nosacījumus, kas paredz CFLA rīcību gadījumā, ja Aizsardzības ministrijas atzinums starpposma vai noslēguma posmā ir negatīvs, kā arī lūdzu iekļaut nosacījumu par to, kurš un kādā formātā izstrādās finansējuma saņēmēja atskaites formas, kā arī kritērijus, kurus izmantos Aizsardzības ministrija zinātniskās kvalitātes izvērtējuma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54.4.1.1.punkta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šo noteikumu 54.4.1.1.1.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54.4.1.2. P&amp;A tehniskais personāls, t.sk., P&amp;A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54.4.1.2. 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šo noteikumu projekta 54.4.1.2.1.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54.5.1.1.punkta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šī noteikumu projekta 54.5.1.1.1.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54.5.1.2. P&amp;A tehniskais personāls, t.sk., P&amp;A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54.5.1.2.punkta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šī noteikumu projekta 54.5.1.2.1.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ņemot vērā, ka atbilstoši noteikumu projekta 6.punktam 1.2.1.1. pasākuma "Atbalsts jaunu produktu attīstībai un internacionalizācijai" trešās kārtas ietvaros plānotais kopējais attiecināmais finansējums ir 32 001 749 euro, nevis 32 501 749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noteikumu projekta saskaņošanas gaitā Ekonomikas ministrijas piedāvāto risinājumu 1.2.1.1. pasākuma "Atbalsts jaunu produktu attīstībai un internacionalizācijai" trešajai kārtai, kas paredz attiecīgajos specifiskā atbalsta mērķa īstenošanas Ministru kabineta noteikumos paredzēt iespēju projekta iesnieguma vērtēšanu uzsākt uzreiz pēc tā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 punktu, ņemot vērā, ka Eiropas Savienības fondu 2021.—2027. gada plānošanas perioda vadības likuma (turpmāk - likums) 28. panta pirmā daļa paredz, ka sadarbības iestāde lēmumu par projekta iesnieguma apstiprināšanu, apstiprināšanu ar nosacījumu vai noraidīšanu pieņem triju mēnešu laikā </w:t>
            </w:r>
            <w:r w:rsidR="00000000" w:rsidRPr="00000000" w:rsidDel="00000000">
              <w:rPr>
                <w:u w:val="single"/>
                <w:rtl w:val="0"/>
              </w:rPr>
              <w:t xml:space="preserve">pēc projekta iesnieguma iesniegšanas beigu datuma</w:t>
            </w:r>
            <w:r w:rsidR="00000000" w:rsidRPr="00000000" w:rsidDel="00000000">
              <w:rPr>
                <w:rtl w:val="0"/>
              </w:rPr>
              <w:t xml:space="preserve">. Savukārt, atbilstoši likuma 20. panta pirmās daļas 1. punktam atklātas projektu iesniegumu atlases gadījumā starp projektu iesniegumiem notiek </w:t>
            </w:r>
            <w:r w:rsidR="00000000" w:rsidRPr="00000000" w:rsidDel="00000000">
              <w:rPr>
                <w:u w:val="single"/>
                <w:rtl w:val="0"/>
              </w:rPr>
              <w:t xml:space="preserve">vienlīdzīga sacensība par projekta iesnieguma apstiprināšanu</w:t>
            </w:r>
            <w:r w:rsidR="00000000" w:rsidRPr="00000000" w:rsidDel="00000000">
              <w:rPr>
                <w:rtl w:val="0"/>
              </w:rPr>
              <w:t xml:space="preserve"> un Eiropas Savienības fonda finansējuma piešķiršanu. Uzsākot vērtēšanu uzreiz pēc projekta iesnieguma saņemšanas, tas rada neskaidrību, vai atlasē tiks nodrošināta vienlīdzīga sacensība par projekta iesnieguma apstiprināšanu, tāpēc šāda vērtēšanas kārtība nebūtu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arī noteikumu projekta 13.3. apakšpunktu un precizēt noteikumu projekta 13.2.apakšpunktu, paredzot, ka komersants projekta iesniegumu var iesniegt atlases nolikumā noteiktajā kārtībā un termiņā, svītrojot vārdus “līdz šo noteikumu 64. punktā minētajam termiņam, bet ne vēlāk kā līdz 2026. gada 31. decembrim;”.Vienlaikus lūdzam atbilstoši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23.07.2024.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23.07.2024.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