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116.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Noslēguma jautājumus raksta, ievērojot šādu secību: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Ierosinām izvērtēt nepieciešamību 116.prim punktam līdzīgas normas paredzēt, piem.,  2.10.apakšnodaļā “normas par likuma spēkā esību” vai citur konsekvencei.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Pinne (AM)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164. Informatīvo atsauci uz Eiropas Savienības tiesību aktiem raksta kā atsevišķu nenumurētu rindkopu ar nosaukumu “Informatīva atsauce uz Eiropas Savienības direktīvām”, ja atsauce ietver šo noteikumu </w:t>
            </w:r>
            <w:r w:rsidR="00000000" w:rsidRPr="00000000" w:rsidDel="00000000">
              <w:rPr>
                <w:rtl w:val="0"/>
              </w:rPr>
              <w:t xml:space="preserve">162.1.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 minēto tiesību aktu, vai “Informatīvā atsauce uz Eiropas Savienības direktīvām un regulām, ar ko groza direktīvas”, ja atsauce vienlaikus ietver šo noteikumu </w:t>
            </w:r>
            <w:r w:rsidR="00000000" w:rsidRPr="00000000" w:rsidDel="00000000">
              <w:rPr>
                <w:rtl w:val="0"/>
              </w:rPr>
              <w:t xml:space="preserve">162.3. </w:t>
            </w:r>
            <w:r w:rsidR="00000000" w:rsidRPr="00000000" w:rsidDel="00000000">
              <w:rPr>
                <w:rtl w:val="0"/>
              </w:rPr>
              <w:t xml:space="preserve">apakšpunktā</w:t>
            </w:r>
            <w:r w:rsidR="00000000" w:rsidRPr="00000000" w:rsidDel="00000000">
              <w:rPr>
                <w:rtl w:val="0"/>
              </w:rPr>
              <w:t xml:space="preserve"> minēto tiesību aktu.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izvērtēt , vai šis punkts būtu attiecināms uz arī uz 162.2.apakspunktā paredzētajiem gadījumiem.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Pinne (AM)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08.45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08.45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