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nozares potenciālais darba spēks – nenodarbinātas personas, kas var būt reģistrējušās Nodarbinātības valsts aģentūrā kā bezdarbnieki vai darba meklētāji, vai citā nozarē nodarbinātie, kas var kļūt par specialistiem atbalstāmajā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prasmju fondu piemērošanu attiecībā uz Nodarbinātības valsts aģentūras klientiem, kā arī izvērtēt iespējamo demarkāciju ar ES Atveseļošanas un noturības mehānisma plāna 3.1.2.5.i. investīcijas “Bezdarbnieku, darba meklētāju un bezdarba riskam pakļauto iedzīvotāju iesaiste darba tirgū”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otrās kārtas ietvaros atbalsts netiek sniegts un nav attiecināmas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tādu mācību neattiecināmību un iekļaušanu noteikumu projektā, kuras darba devējam ir jāveic obligātā kārtā, t.i., neatkarīgi no valsts atbalsta pieaugušo izglītībai, lai preventīvi tiktu novērstas valsts “nelietderīgā sloga (</w:t>
            </w:r>
            <w:r w:rsidR="00000000" w:rsidRPr="00000000" w:rsidDel="00000000">
              <w:rPr>
                <w:i w:val="1"/>
                <w:rtl w:val="0"/>
              </w:rPr>
              <w:t xml:space="preserve">dead weight</w:t>
            </w:r>
            <w:r w:rsidR="00000000" w:rsidRPr="00000000" w:rsidDel="00000000">
              <w:rPr>
                <w:rtl w:val="0"/>
              </w:rPr>
              <w:t xml:space="preserve">)” izmaksas. Piemēram, attiecībā uz darba drošību un aizsardzību, ugunsdrošību, apmācībām darbam ar specifisku tehniku vai bīstamām iekārtām, obligātās veselības pārbaudes saistītām apmācībām/ pirmās palīdzības mācībām u.c., ko darba devēji būtu īstenojuši un finansējuši arī bez valsts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otrās kārtas mērķis ir izstrādāt Latvijai atbilstošu prasmju fondu darbības un finansēšanas  modeli, ar nodomu tam ilgtermiņā kļūt par pašregulējošu un pašfinansējošu struktūru, attīstot sociālajā dialogā balstītu sistēmu nozares uzņēmumā nodarbināto, tai skaitā, pašnodarbināto un nozares potenciālā darba spēka prasmju attīstībai ātrai un efektīvai darbaspēka pielāgošanai darba tirgus attīstības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konkretizēt apzīmējuma “ilgtermiņš” iespējamo laika tvērumu. Proti, brīdi, kad prasmju fondi varētu tikt piemēroti bez ES fondu projektu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otrās kārtas ietvaros viena projekta iesnieguma maksimāli pieļaujamais finansējuma apmērs ir 2 016 951,33 euro, ko veido publiskais finansējums 1 920 909,33 euro (tai skaitā Eiropas Sociālā fonda Plus finansējums 1632 722,93 euro un valsts budžeta finansējums 288136,4 euro) un privātais finansējums ne mazāk kā 96 042 euro.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viena projekta iesnieguma maksimālo summu, kas veido 1/3 no kopējā finansējuma, un tās atbilstību pretendentu sasniedzamībai, t.sk., mazinot riskus mācību piemērošanai asociāciju ietilpīgās nozarēs, kurās vērojams arī izteikts darbaspēka pārpalikums un zema darba vietu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apliecinājumu, ka tiks izstrādāta atbilstoša iekšējās kontroles sistēma korupcijas un interešu konflikta riska novēršanai, ievērojot šo noteikumu </w:t>
            </w:r>
            <w:r w:rsidR="00000000" w:rsidRPr="00000000" w:rsidDel="00000000">
              <w:rPr>
                <w:rtl w:val="0"/>
              </w:rPr>
              <w:t xml:space="preserve">38.9.</w:t>
            </w:r>
            <w:r w:rsidR="00000000" w:rsidRPr="00000000" w:rsidDel="00000000">
              <w:rPr>
                <w:rtl w:val="0"/>
              </w:rPr>
              <w:t xml:space="preserve"> apakšpunktā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riskus un papildināt darbības to novēršanai, ko rada izglītības pakalpojumu sniedzēju pārstāvniecība tādās apvienībās, kas šķietami atbilst projektu pretendenta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14.12.2024.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14.12.2024.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