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Nozvejoto zivju izkraušanas kontroles un zivju tirdzniecības un transporta objektu, noliktavu un ražošanas telpu pārbaudes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Zvejnieki ir tiesīgi pārdot jūras produktus informācijas sistēmā nereģistrētiem zivju pircējiem tikai tad,</w:t>
            </w:r>
            <w:r w:rsidR="00000000" w:rsidRPr="00000000" w:rsidDel="00000000">
              <w:rPr>
                <w:b w:val="1"/>
                <w:rtl w:val="0"/>
              </w:rPr>
              <w:t xml:space="preserve"> </w:t>
            </w:r>
            <w:r w:rsidR="00000000" w:rsidRPr="00000000" w:rsidDel="00000000">
              <w:rPr>
                <w:rtl w:val="0"/>
              </w:rPr>
              <w:t xml:space="preserve">ja tiek ievēroti regulas Nr. </w:t>
            </w:r>
            <w:r w:rsidR="00000000" w:rsidRPr="00000000" w:rsidDel="00000000">
              <w:rPr>
                <w:rtl w:val="0"/>
              </w:rPr>
              <w:t xml:space="preserve">1224/2009</w:t>
            </w:r>
            <w:r w:rsidR="00000000" w:rsidRPr="00000000" w:rsidDel="00000000">
              <w:rPr>
                <w:rtl w:val="0"/>
              </w:rPr>
              <w:t xml:space="preserve"> 59. panta 3. punkta nosacījumi, kā arī ja jūras produktu pirmā pirkšana no zvejas kuģa notiek ārpus Latvijas Republikas teritorijas un zivju pircējs ir reģistrēts tās dalībvalsts kompetentajā iestādē, kuras teritorijā notiek jūras produktu pirmā pirkšana.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projekta 22. punkta teikuma daļa "kā arī ja jūras produktu pirmā pirkšana no zvejas kuģa notiek ārpus Latvijas Republikas teritorijas un zivju pircējs ir reģistrēts tās dalībvalsts kompetentajā iestādē, kuras teritorijā notiek jūras produktu pirmā pirkšana" pēc būtības nedublē Padomes 2009. gada 20. novembra Regulas (EK) Nr. 1224/2009,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Nr. 1224/2009), 59. panta 2. punktā noteikto. Atgādinām, ka regulas normas nav pieļaujams dublēt. Ja projekta 22. punktā netiek dublēta regulas norma, lūdzam sniegt pamatotu skaidrojumu. Alternatīvi lūdzam normu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piemērotu nozvejas sertifikācijas sistēmu jūras produktu importam un eksportam atbilstoši regulas Nr. </w:t>
            </w:r>
            <w:r w:rsidR="00000000" w:rsidRPr="00000000" w:rsidDel="00000000">
              <w:rPr>
                <w:rtl w:val="0"/>
              </w:rPr>
              <w:t xml:space="preserve">1005/2008</w:t>
            </w:r>
            <w:r w:rsidR="00000000" w:rsidRPr="00000000" w:rsidDel="00000000">
              <w:rPr>
                <w:rtl w:val="0"/>
              </w:rPr>
              <w:t xml:space="preserve"> III nodaļā minētajām prasībām, importētāji, reeksportētāji, eksportētāji un dalībvalstu kompetentās iestādes izmanto Eiropas Komisijas nozvejas sertifikācijas pārvaldības sistēmu </w:t>
            </w:r>
            <w:r w:rsidR="00000000" w:rsidRPr="00000000" w:rsidDel="00000000">
              <w:rPr>
                <w:i w:val="1"/>
                <w:rtl w:val="0"/>
              </w:rPr>
              <w:t xml:space="preserve">CATCH</w:t>
            </w:r>
            <w:r w:rsidR="00000000" w:rsidRPr="00000000" w:rsidDel="00000000">
              <w:rPr>
                <w:rtl w:val="0"/>
              </w:rPr>
              <w:t xml:space="preserve"> (turpmāk – </w:t>
            </w:r>
            <w:r w:rsidR="00000000" w:rsidRPr="00000000" w:rsidDel="00000000">
              <w:rPr>
                <w:i w:val="1"/>
                <w:rtl w:val="0"/>
              </w:rPr>
              <w:t xml:space="preserve">CATCH</w:t>
            </w:r>
            <w:r w:rsidR="00000000" w:rsidRPr="00000000" w:rsidDel="00000000">
              <w:rPr>
                <w:rtl w:val="0"/>
              </w:rPr>
              <w:t xml:space="preserve">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uz Latvijas kompetento iestādi, nevis dalībvalstu kompetentajām iestādēm kopumā, ņemot vērā, ka Latvijas normatīvajā aktā, ievērojot nacionālo jurisdikciju, nav pieļaujams noteikt pienākumus un tiesības citu dalībvalstu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Jūras produktu eksportētājs, atkāpjoties no </w:t>
            </w:r>
            <w:r w:rsidR="00000000" w:rsidRPr="00000000" w:rsidDel="00000000">
              <w:rPr>
                <w:i w:val="1"/>
                <w:rtl w:val="0"/>
              </w:rPr>
              <w:t xml:space="preserve">CATCH</w:t>
            </w:r>
            <w:r w:rsidR="00000000" w:rsidRPr="00000000" w:rsidDel="00000000">
              <w:rPr>
                <w:rtl w:val="0"/>
              </w:rPr>
              <w:t xml:space="preserve"> sistēmā paredzētajām darbībām, var iesniegt eksportam nepieciešamo nozvejas sertifikātu informācijas sistēmā, ja eksports ir paredzēts uz valstīm, kas nav iekļautas to Eiropas Komisijas trešo valstu sarakstā, kuras atbilstoši regulas Nr. </w:t>
            </w:r>
            <w:r w:rsidR="00000000" w:rsidRPr="00000000" w:rsidDel="00000000">
              <w:rPr>
                <w:rtl w:val="0"/>
              </w:rPr>
              <w:t xml:space="preserve">1005/2008</w:t>
            </w:r>
            <w:r w:rsidR="00000000" w:rsidRPr="00000000" w:rsidDel="00000000">
              <w:rPr>
                <w:rtl w:val="0"/>
              </w:rPr>
              <w:t xml:space="preserve"> 15. pantam pieprasa nozvejas sertifikātu jūras produktu eksportam, ja vien minētās valstis nav paziņojušas par citu jūras produktu eksporta procedūras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sniegt skaidrojumu par attiecīgo Eiropas Komisijas trešo valstu saraksta </w:t>
            </w:r>
            <w:r w:rsidR="00000000" w:rsidRPr="00000000" w:rsidDel="00000000">
              <w:rPr>
                <w:u w:val="single"/>
                <w:rtl w:val="0"/>
              </w:rPr>
              <w:t xml:space="preserve">saistošo spēku</w:t>
            </w:r>
            <w:r w:rsidR="00000000" w:rsidRPr="00000000" w:rsidDel="00000000">
              <w:rPr>
                <w:rtl w:val="0"/>
              </w:rPr>
              <w:t xml:space="preserve"> jūras produktu eksportētājiem, kā arī sniegt skaidrojumu, ar kādu tiesību aktu vai dokumentu attiecīgais saraksts tiek apstiprināts. Izziņas 17. punktā skaidrots: "</w:t>
            </w:r>
            <w:r w:rsidR="00000000" w:rsidRPr="00000000" w:rsidDel="00000000">
              <w:rPr>
                <w:i w:val="1"/>
                <w:rtl w:val="0"/>
              </w:rPr>
              <w:t xml:space="preserve">Noteikumu projekta 37. punktā minētais Eiropas Komisijas trešo valstu saraksts ir publiski pieejams Eiropas Komisijas tīmekļvietnē:</w:t>
            </w:r>
            <w:r w:rsidR="00000000" w:rsidRPr="00000000" w:rsidDel="00000000">
              <w:rPr>
                <w:i w:val="1"/>
                <w:rtl w:val="0"/>
              </w:rPr>
              <w:t xml:space="preserve">https://oceans-and-fisheries.ec.europa.eu/document/download/dee9c49a-6214-41e1-b112-d8123d1ee87d_en?filename=list_of_third_countries_en.pdf. Vienlaikus tas ir pieejams Zemkopības ministrijas tīmekļvietnē, kur ir izveidota sadaļa par regulas Nr. 1005/2008 īstenošanu: https://www.zm.gov.lv/lv/valstis-kuras-pieprasa-nozvejas-sertifikatu. Minētā informācija regulāri tiek atjaunināta, balstoties uz izmaiņām, par kurām informē Eiropas Komisija. Tāpat arī Latvijas operatori tiek informēti par visām regulas izmaiņām un jauno prasību ieviešanu</w:t>
            </w:r>
            <w:r w:rsidR="00000000" w:rsidRPr="00000000" w:rsidDel="00000000">
              <w:rPr>
                <w:rtl w:val="0"/>
              </w:rPr>
              <w:t xml:space="preserve">." Izprotam, ka saraksts ir publiski pieejams Eiropas Komisijas tīmekļvietnē, kā arī Zemkopības ministrijas tīmekļvietnē, vienlaikus aicinām atkārtoti izvērtēt šādas atsauces ietveršanas nepieciešamību un pieļaujamību. Vēršam uzmanību, ka normatīvajā aktā nav pieļaujams ietvert atsauces uz nesaistošiem dokumentiem. Atkārtoti lūdzam izvērtēt un papildināt projektu ar atsauci uz attiecīgo tieši piemērojamo Eiropas Savienības normatīvo aktu (regulu), kurā saraksts ir pieejams (ja tas ir pieejams Eiropas Savienības regulā) vai svītrot atsauci uz minēto sarakstu un to pārņemt projektā, vai nepieciešamības gadījumā minēto sarakstu publicēt oficiālajā izdevumā "Latvijas Vēstnesis", attiecīgā gadījumā atbilstoši papildinot projektu. Alternatīvi lūdzam sniegt pamatojumu šādas atsauces ietveršanas nepieciešamībai un pieļaujamībai, ņemot vērā iepriekš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lūdzam projekta anotācijā sniegt skaidrojumu, kā (arī - kam) tiek paziņota jūras produktu eksporta procedūras kārtība un kā to paredzēts piemērot. Vēršam uzmanību, ka skaidrojums par minēto anotācijā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attiecībā uz regulas Nr.  1224/2009 68. panta 6. punktā paredzēto rīcības brīvību projekta anotācijā skaidrots, ka paredzēts attiecināt izņēmumu uz minētās regulas 68. panta 1. punktu, tomēr aicinām izvērtēt, vai faktiski rīcības brīvība netiek īstenota attiecībā uz izņēmumu no 68. panta </w:t>
            </w:r>
            <w:r w:rsidR="00000000" w:rsidRPr="00000000" w:rsidDel="00000000">
              <w:rPr>
                <w:u w:val="single"/>
                <w:rtl w:val="0"/>
              </w:rPr>
              <w:t xml:space="preserve">2. punkta</w:t>
            </w:r>
            <w:r w:rsidR="00000000" w:rsidRPr="00000000" w:rsidDel="00000000">
              <w:rPr>
                <w:rtl w:val="0"/>
              </w:rPr>
              <w:t xml:space="preserve">, kas šobrīd ieviests projekta 29. punktā, tādēļ lūdzam izvērtēt un sniegt skaidrojumu par minēto vai precizēt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lūdzam izvērtēt un projekta anotācijas 5.4. apakšsadaļas 1. tabulā skaidrot, kā ieviests Padomes 2008. gada 29. septembra Regulas (EK) Nr. 1005/2008, ar ko izveido Savienības sistēmu, lai aizkavētu, novērstu un izskaustu nelegālu, nereģistrētu un neregulētu zveju, un ar ko groza Regulas (EEK) Nr.  2847/93, (EK) Nr. 1936/2001 un (EK) Nr. 601/2004, un ar ko atceļ Regulas (EK) Nr. 1093/94 un (EK) Nr. 1447/1999, 15. panta 2. punkts un 16. pants (attiecībā uz kompetentās iestādes noteikšanu). Aicinām skaidrot, vai un kur projektā vai citā normatīvajā aktā noteikts, kas ir kompetentā iestāde regulas 15. un 16. panta izpratnē. No projekta 35. punkta vārdiskā formulējuma pirmšķietami neizriet viennozīmīga konkrētas kompetentās iestādes (vai iestāžu) noteikšana attiecīgo regulas normu izpratnē (salīdzinājumam sk. projekta 5. punktu). Aicinām izvērtēt un, ja nepieciešams, precizēt projektu. Alternatīvi aicinām sniegt skaidrojumu, vai privātpersonām ir viennozīmīgi skaidrs, kura ir kompetentā iestāde attiecīgajā gadījumā. Citastarp atkārtoti lūdzam izvērtēt un projektā vai tā anotācijā skaidrot, </w:t>
            </w:r>
            <w:r w:rsidR="00000000" w:rsidRPr="00000000" w:rsidDel="00000000">
              <w:rPr>
                <w:u w:val="single"/>
                <w:rtl w:val="0"/>
              </w:rPr>
              <w:t xml:space="preserve">kā izpaužas iesaiste</w:t>
            </w:r>
            <w:r w:rsidR="00000000" w:rsidRPr="00000000" w:rsidDel="00000000">
              <w:rPr>
                <w:rtl w:val="0"/>
              </w:rPr>
              <w:t xml:space="preserve"> verifikācijas procedūrās (sk. noteikumu 35. punktu). Izziņas 16. punktā norādīts, ka anotācijā sniegts skaidrojums, tomēr anotācijā nav atrodams attiecīgs skaidrojums par to, ko nozīmē minētā iesaiste. Norādām, ka atbilstoši regulai jāizraugās kompetentās iestādes minētajai verifikācijai, savukārt no projekta neizriet, vai kompetentā iestāde ir vienīgi Valsts vides dienests un vai ar iesaisti saprotama sadarbība, kas jau tāpat izriet no Valsts pārvaldes iekārtas 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izziņas 27. punktā ietvertos skaidrojumus par anotācijas 5. sadaļā minētajās Eiropas Savienības regulās paredzētās rīcības brīvības izmantošanu vai neizmantošanu pilnībā ietvert arī anotācijas 5.4. apakšsadaļas 1. tabulas atbilstošajā ailē, kā arī, skaidrojot rīcības brīvības izmantošanu, nepārprotami norādīt, kurā projekta vienībā (vai cita normatīvā akta vienībā) rīcības brīvība ir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ir kompetentā iestāde Padomes 2008. gada 29. septembra Regulas (EK) Nr.  </w:t>
            </w:r>
            <w:r w:rsidR="00000000" w:rsidRPr="00000000" w:rsidDel="00000000">
              <w:rPr>
                <w:rtl w:val="0"/>
              </w:rPr>
              <w:t xml:space="preserve">1005/2008</w:t>
            </w:r>
            <w:r w:rsidR="00000000" w:rsidRPr="00000000" w:rsidDel="00000000">
              <w:rPr>
                <w:rtl w:val="0"/>
              </w:rPr>
              <w:t xml:space="preserve">, ar ko izveido Savienības sistēmu, lai aizkavētu, novērstu un izskaustu nelegālu, nereģistrētu un neregulētu zveju, un ar ko groza Regulas (EEK) Nr.  2847/93, (EK) Nr. 1936/2001 un (EK) Nr. 601/2004, un ar ko atceļ Regulas (EK) Nr. 1093/94 un (EK) Nr. 1447/1999, (turpmāk – regula Nr. </w:t>
            </w:r>
            <w:r w:rsidR="00000000" w:rsidRPr="00000000" w:rsidDel="00000000">
              <w:rPr>
                <w:rtl w:val="0"/>
              </w:rPr>
              <w:t xml:space="preserve">1005/2008</w:t>
            </w:r>
            <w:r w:rsidR="00000000" w:rsidRPr="00000000" w:rsidDel="00000000">
              <w:rPr>
                <w:rtl w:val="0"/>
              </w:rPr>
              <w:t xml:space="preserve">) 6. panta 1. punkta, 17. panta 6. punkta, 18. panta 1., 2. un 4. punkta, 21. panta 1. punkta  un regulas Nr. </w:t>
            </w:r>
            <w:r w:rsidR="00000000" w:rsidRPr="00000000" w:rsidDel="00000000">
              <w:rPr>
                <w:rtl w:val="0"/>
              </w:rPr>
              <w:t xml:space="preserve">1224/2009</w:t>
            </w:r>
            <w:r w:rsidR="00000000" w:rsidRPr="00000000" w:rsidDel="00000000">
              <w:rPr>
                <w:rtl w:val="0"/>
              </w:rPr>
              <w:t xml:space="preserve">  60. panta 8. un 9. punkta, 62., 66. un 68. panta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atsauču uz attiecīgās regulas vienībām pilnīgumu, nosakot Valsts vides dienestu kā kompetento iestādi minēto regulas vienību izpratnē. Proti, aicinām izvērtēt, vai uzskaitījums ir pilnīgs. Citastarp aicinām skaidrot, kādēļ ir ietverta atsauce tieši un tikai uz 17. panta 6. punktu, savukārt nav ietverta atsauce uz, piemēram, 1. punktu, kā arī nav ietverta atsauce uz 18. panta 5. punktu u.tml. Attiecīgi aicinām izvērtēt un, ja nepieciešams, precizēt projektu, vai sniegt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48.6. piešķir pieeju Valsts vides dienestam CCTV kameru reāllaika datu izmantošanai nozvejas izkraušanas un svēršanas kontrolei, uzglabā CCTV kameru datus divas nedēļas pēc to ieraksta videomateriālā un pēc Valsts vides dienesta pieprasījuma nodrošina CCTV kameru datu pieejamību par konkrētu izkraušanas vai svēršanas gadījumu;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kas pamatotu izvēlēto CCTV kameras ieraksta datu glabāšanas termiņu - divas nedēļas.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pilnīgu informāciju par projektā plānoto personas datu apstrādi. Norādām, ka projekta ietvaros tiek plānota ne tikai operatora personas datu apstrāde, bet arī zivju pircēja un zivju svērēja personas datu apstrāde, tādēļ tas attiecīgi ir atspoguļojams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25-TA-2770</w:t>
    </w:r>
    <w:r>
      <w:br/>
    </w:r>
    <w:r w:rsidR="00000000" w:rsidRPr="00000000" w:rsidDel="00000000">
      <w:rPr>
        <w:rtl w:val="0"/>
      </w:rPr>
      <w:t xml:space="preserve">Izdrukāts 02.06.2026.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25-TA-2770</w:t>
    </w:r>
    <w:r>
      <w:br/>
    </w:r>
    <w:r w:rsidR="00000000" w:rsidRPr="00000000" w:rsidDel="00000000">
      <w:rPr>
        <w:rtl w:val="0"/>
      </w:rPr>
      <w:t xml:space="preserve">Izdrukāts 02.06.2026.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Atzinumi_25-TA-2770.docx</dc:title>
</cp:coreProperties>
</file>

<file path=docProps/custom.xml><?xml version="1.0" encoding="utf-8"?>
<Properties xmlns="http://schemas.openxmlformats.org/officeDocument/2006/custom-properties" xmlns:vt="http://schemas.openxmlformats.org/officeDocument/2006/docPropsVTypes"/>
</file>