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un sadarbības partneris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tā kā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tad </w:t>
            </w:r>
            <w:r w:rsidR="00000000" w:rsidRPr="00000000" w:rsidDel="00000000">
              <w:rPr>
                <w:u w:val="single"/>
                <w:rtl w:val="0"/>
              </w:rPr>
              <w:t xml:space="preserve">lūdzam noteikumu projekta 21.5. apakšpunktā precizēt atsauci, norādot atsauci uz Regulu 2024/2509</w:t>
            </w:r>
            <w:r w:rsidR="00000000" w:rsidRPr="00000000" w:rsidDel="00000000">
              <w:rPr>
                <w:rtl w:val="0"/>
              </w:rPr>
              <w:t xml:space="preserve">.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26.2.11. izmaksas komunikācijas un vizuālās identitātes prasību nodrošināšanai šo noteikumu </w:t>
            </w:r>
            <w:r w:rsidR="00000000" w:rsidRPr="00000000" w:rsidDel="00000000">
              <w:rPr>
                <w:rtl w:val="0"/>
              </w:rPr>
              <w:t xml:space="preserve">24.8.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26.2.11. apakšpunktā iekļauto atsauci, aizstājot atsauci "24.8. apakšpunktā" ar atsauci "24.9.apakšpunktā", jo nav korekti minēta atbalstāmā darbība - komunikācijas un vizuālās identitātes prasību nodrošināšanas pasākumi kā atbalstāmā darbība ir noteikta noteikumu projekta 24.9. apakšpunktā. Vienlaikus aicinām izvērtēt nepieciešamību  precizēt arī citas noteikumu projekta normas,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15. punkts paredz, ka finansējuma saņēmējam avansu var piešķirt līdz 50 procentiem no projektam piešķirtā Eiropas Sociālā fonda Plus finansējuma un valsts budžeta līdzfinansējuma kopsummas, lūdzam anotācijas 1.3. sadaļā "Pašreizējā situācija, problēmas un risinājumi" sniegt atbilstošu pamatojumu šāda avansa apmēra nepieciešamībai, jo avanss tiek plānots lielāks nekā 30%, proti, lielāks nekā paredz Ministru kabineta 2023. gada 25. aprīļa noteikumu Nr. 205 “Valsts budžeta līdzekļu plānošanas kārtība Eiropas Savienības fondu projektu īstenošanai un maksājumu veikšanai 2021.–2027. gada plānošanas periodā” (turpmāk - noteikumi Nr. 205) 10.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noteikumu projekta 15. punkts paredz, ka avansa un starpposma maksājumu kopsumma nepārsniedz 95 procentus no projektam piešķirtā Eiropas Sociālā fonda Plus un valsts budžeta finansējuma kopsummas, lūdzam anotācijas 1.3. sadaļā "Pašreizējā situācija, problēmas un risinājumi" sniegt atbilstošu pamatojumu šādam avansa un starpposma maksājumu kopsummas apmēram. Vēršam uzmanību, ka saskaņā ar Ministru kabineta 2023. gada 25. aprīļa sēdes protokollēmumu (prot. Nr. 22 25. § 3. punkts) ministrijai, izstrādājot normatīvā akta projektu par specifiskā atbalsta mērķa īstenošanu un paredzot avansa un starpposma maksājuma kopsummu noteikumu Nr. 205 </w:t>
            </w:r>
            <w:r w:rsidR="00000000" w:rsidRPr="00000000" w:rsidDel="00000000">
              <w:rPr>
                <w:u w:val="single"/>
                <w:rtl w:val="0"/>
              </w:rPr>
              <w:t xml:space="preserve">18. punktā noteiktajā apjomā</w:t>
            </w:r>
            <w:r w:rsidR="00000000" w:rsidRPr="00000000" w:rsidDel="00000000">
              <w:rPr>
                <w:rtl w:val="0"/>
              </w:rPr>
              <w:t xml:space="preserve"> vai noteikumu 17. punktā noteiktajā apjomā, ja avansa un starpposma maksājumu kopsummu izmanto tai deleģētā valsts pārvaldes uzdevuma īstenošanai, anotācijā ir īpaši jāpamato šāda avansa un starpposma maksājuma kopsummas apmēra nepieciešamība.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14.11.2024. 16.18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24-TA-1536</w:t>
    </w:r>
    <w:r>
      <w:br/>
    </w:r>
    <w:r w:rsidR="00000000" w:rsidRPr="00000000" w:rsidDel="00000000">
      <w:rPr>
        <w:rtl w:val="0"/>
      </w:rPr>
      <w:t xml:space="preserve">Izdrukāts 14.11.2024. 16.18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Atzinumi_24-TA-1536.docx</dc:title>
</cp:coreProperties>
</file>

<file path=docProps/custom.xml><?xml version="1.0" encoding="utf-8"?>
<Properties xmlns="http://schemas.openxmlformats.org/officeDocument/2006/custom-properties" xmlns:vt="http://schemas.openxmlformats.org/officeDocument/2006/docPropsVTypes"/>
</file>