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Neskaidras trīspakāpju izvērtēšanas modeļa un kumulatīvā investīciju apjoma noteikšanas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1.ziņojumā ir ietverta prasība ieguldījumus viena IKT resursa attīstībā un uzturēšanā uzskaitīt kumulatīvi kā vienotu investīciju kopumu, bet nav skaidri noteikta šīs pieejas saikne ar trīs līmeņu izvērtēšanas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2.nav skaidri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2.1.kāda ir kumulatīvās uzskaites un trīspakāpju izvērtēšanas savstarpējā saikne;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kādā periodā jāveic ieguldījumu summēšana;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vai robežvērtības attiecināmas uz atsevišķu attīstības aktivitāti, projektu, informācijas sistēmas dzīves cikla izmaksām vai konkrēta laika perioda ieguldījumu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kādā veidā identificējamas un summējamas savstarpēji saistītas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kā tiks noteiktas stratēģiskas aktivitātes gadījumos, kad investīciju apjoms nesasniedz noteikto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rada būtisku interpretācijas risku un var novest pie atšķirīgas regulējuma piemērošanas valsts pārvaldes iestādēs. Īpaši būtiski tas ir iestādēm, kuru pārziņā jau ir ilgtermiņā attīstāmas pamatdarbības informācijas sistēmas, kurās attīstība tiek īstenota nepārtraukti, vairākos secīgos attīstības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ierosinām: </w:t>
            </w:r>
            <w:r w:rsidR="00000000" w:rsidRPr="00000000" w:rsidDel="00000000">
              <w:rPr>
                <w:rtl w:val="0"/>
              </w:rPr>
              <w:t xml:space="preserve">normatīvajā regulējumā precīzi definēt summēšanas (kumulatīvās pieejas) principus, piemērojamo periodu, uzskaites vienību un robežsummu piemērošanas metodiku, kā arī stratēģiskas aktivitātes noteikšanas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Trīspakāpju izvērtēšanas procesa laikietilpība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paredzēts būtiski paplašināt VARAM pilnvaras, ieviešot centralizētu IKT projektu uzraudzību, lietderības izvērtēšanu, projektu statusa monitoringu un neatkarīgu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šāds process ir laikietilpīgs, kas kopā ar publiskā iepirkuma procedūras īstenošanas (līdz 4 mēnešiem) un valsts drošības iestāžu atzinuma saņemšanas termiņiem (līdz 4 mēnešiem) var sasniegt pat 12 mēnešu periodu, līdz attīstības aktivitātes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var negatīvi ietekmēt iestādes pamatdarbības nepārtrauktību, t.sk., kad kritisko pakalpojumu sniedzējiem nepieciešama tūlītēja reaģēšana un steidzama rīcība. Īpaši tas 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informācijas sistēmas atbalsta izstrādi, lai ieviestu izmaiņas normatīvajos aktos iestādes sniegtajos pamatdarbības pakalpojumos, ievērojot noteiktos ieviešanas termiņus, īpaši gadījumos, kad ieviešanai dots neliels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pamatdarbības pakalpojumu un risinājumu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kiberdrošības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infrastruktūras (īpaši kritiskās)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ierosinām </w:t>
            </w:r>
            <w:r w:rsidR="00000000" w:rsidRPr="00000000" w:rsidDel="00000000">
              <w:rPr>
                <w:rtl w:val="0"/>
              </w:rPr>
              <w:t xml:space="preserve">normatīvajā regulējumā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īpašu kārtību normatīvo aktu ieviešanas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izņēmumus kritiskās infrastruktūras un kritisko pakalpojumu sniedzējiem, t.sk paātrināta procedūra normatīvo aktu prasību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iespēju neatliekamus darbus uzsākt pirms pilna izvērtēšanas cikla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viena gada pārejas periodu jaunā regulējuma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Nepieciešamība nošķirt prasības esošas informācijas sistēmas uzturēšanai/attīstībai un jaunas sistēmas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ietverts vienots regulējums gan esošu informācijas sistēmu uzturēšanai un attīstībai, gan jaunas informācijas sistēmas izveidei, kaut gan abu šo aktivitāšu mērķi, raksturs un riski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ierosinām</w:t>
            </w:r>
            <w:r w:rsidR="00000000" w:rsidRPr="00000000" w:rsidDel="00000000">
              <w:rPr>
                <w:rtl w:val="0"/>
              </w:rPr>
              <w:t xml:space="preserve"> normatīvajā regulējumā skaidri nodalīt: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1.esošu ekspluatācijā nodotu informācijas sistēmu uzturēšanu un attīstību, jo šādā gadījumā sistēma jau darbojas un nodrošina valsts funkciju izpildi, un iestādei ir pienākums nodrošināt tās nepārtrauktu darbību, tai skaitā īstenojot regulāru pilnveidošanu un jaunu normatīvo aktu prasību vai grozījumu esošajos tiesību aktos operatīvu ieviešanu. Iestādei ir pienākums veikt kiberdrošības un uzturēšanas uzlabojumus esošajās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informācijas sistēmu izveidi, jo šādā gadījumā ir pamatota pilna alternatīvu analīze, plašāks lietderības izvērtējums un detalizētāki izvērtēšanas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īpaši nepieciešams atsevišķi regulēt gadījumus, kad attīstāmā sistēma ir kritiskās infrastruktūras sastāvdaļa un/vai nodrošina kritisku pakalpojumu sniegšanu un ir valsts mēroga pamatdarbības sistēma. Šādā gadījumā primāri jāvērtē iestādes darbības nepārtrauktības, pieejamības un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Obligātās programmatūras koda publicēšanas repozitorijos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noteikt programmatūras koda publicēšanu repozitorijos kā obligātu prasību individuāli izstrādātiem risinājumiem. Atbalstām atvērtā koda pieejas izmantošanu tajās jomās, kur tas ir drošs un lietderīgs risinājums, tomēr uzskatām, ka ziņojumā nav pietiekami izvērtēta šādas prasības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kritisko informācijas sistēmu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kritiskās infrastruktūras objektu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administratīvo slogu iestādei, kurai informācijas sistēmu pirmkoda apjoms ir ievērojams, un tā sagatavošanai publiskošanai, kā arī regulārai aktualizēšanai būs nepieciešami papildu tehnoloģiskie, finanšu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ierosinām</w:t>
            </w:r>
            <w:r w:rsidR="00000000" w:rsidRPr="00000000" w:rsidDel="00000000">
              <w:rPr>
                <w:rtl w:val="0"/>
              </w:rPr>
              <w:t xml:space="preserve"> normatīvajā regulējumā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izņēmumus kritiskajai infrastruktūrai;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ierobežotas pieejamības repozitorijus;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diferencētu pieeju atkarībā no sistēmas kritiskuma un drošības klasifikācijas.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iekļauts 3.5. Uzdevums FM: virzīt izskatīšanai MK grozījumus MK 2022. gada 20. decembra noteikumos Nr. 816 "Publisko elektronisko iepirkumu noteikumi", nosakot ierobežojumus kopējai līgumcenai, par kādu pasūtītājs gada laikā var iegādāties programmatūras izstrādes pakalpojumus EIS e-katalogos.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Ierobežojumus attiecinot uz iestādi rodas nevienlīdzīga attieksme pret iestādēm ar atšķirīgu IKT sistēmu skaitu. Bez tam šāda pieeja var radīt situācijas, kad, sasniedzot slieksni, rodas nesamērīgs administratīvais slogs arī nelielu sistēmu uzlabojumu vai uzturēšanas pakalpojumu iegādei.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ierobežojumus kopējai līgumcenai noteikt vienai IKT sistēmai nevis pasūtītājam.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6.pielikumā pausto par  veselības un labklājības  jomu tehnoloģiskā nodrošinājuma iespējamo konsolidēto  pārvaldību, rosinām papildināt tekstu, ka par jebkādām izmaiņām var diskutēt tikai tad, ja ir veikta izpēte un ir saskatāmi  ieguvumi.  Esošajā modelī labklājības jomas  informācijas sistēmu attīstība un tehnoloģiskā pārvaldība tiek nodrošināta  labā līmenī. Vienlaikus,  ja būs nepieciešama mainīt pārvaldību, tad ministrija saskata, attīstīt  nozares kompetences centra izveidi uz VSAA bāzes, t.sk. piesaistot papildus resursus, uz VSAA esošās kompetences, pieredzes un pārvaldīto valsts mēroga informācijas sistēmu bāzes veidot un attīstīt biznesa procesu pārvaldības kompetenču centru.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Logins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