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2.6.</w:t>
            </w:r>
            <w:r w:rsidR="00000000" w:rsidRPr="00000000" w:rsidDel="00000000">
              <w:rPr>
                <w:rtl w:val="0"/>
              </w:rPr>
              <w:t xml:space="preserve"> apakšpunktā minēto izziņu (elektroniski) – ne vēlāk kā 10 darbdienu laikā pēc Valsts ieņēmumu dienesta nodokļu kontroles vai nodokļu revīzijas (audita) lēmuma spēkā stāšanās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 nodokļiem un nodevām" lietoto lēmumu veidu nosaukumus – lēmums par nodokļu revīzijas (audita) rezultātiem un nodokļu kontroles rēķins – , aicinām precizēt 3.3.apakšpunkta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2.6. apakšpunktā minēto izziņu (elektroniski) – ne vēlāk kā 10 darbdienu laikā pēc lēmuma par nodokļu revīzijas (audita) rezultātiem vai nodokļu kontroles rēķina spēkā stāšanās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22.08.2025.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22.08.2025.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Atzinumi_25-TA-1695.docx</dc:title>
</cp:coreProperties>
</file>

<file path=docProps/custom.xml><?xml version="1.0" encoding="utf-8"?>
<Properties xmlns="http://schemas.openxmlformats.org/officeDocument/2006/custom-properties" xmlns:vt="http://schemas.openxmlformats.org/officeDocument/2006/docPropsVTypes"/>
</file>