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minēts, ka: "Eiropas Parlamenta un Padomes 2016. gada 9. marta Regulas (ES) 2016/399 par Savienības Kodeksu par noteikumiem, kas reglamentē personu pārvietošanos pār robežām (Šengenas Robežu kodekss) (turpmāk – Regula 2016/399) 5. panta 1. punkts paredz, ka ārējās robežas var šķērsot robežšķērsošanas vietās un darba laikā. Valstis paziņo Eiropas Komisijai robežšķērsošanas vietu sarakstu. Attiecīgi Regula 2016/399 pieļauj valstīm mainīt vai uz laiku mainīt robežšķērsošanas vietu sarakstu." Saistībā ar minēto vēršam uzmanību, ka pirmšķietami no rīkojuma projekta un tā anotācijas izriet, ka faktiski ar rīkojuma projektu varētu tikt īstenots minētās regulas 5. panta 4. punktā paredzētais izņēmums attiecībā uz migrantu instrumentalizācijas situāciju, proti, rīcības brīvība uz laiku slēgt konkrētas robežšķērsošanas vietas, to darot zināmu saskaņā ar šā panta 1. punkta otro daļu, vai ierobežot to darba laiku, ja to prasa apstākļi, nevis 5. panta 1. punktā ietvertais regulējums attiecībā uz robežšķērsošanas vietu sarakstu. Attiecīgi lūdzam izvērtēt un aizpildīt rīkojuma projekta anotācijas 5. sadaļu, skaidrojot pamatojumu minētā izņēmuma piemērošanai (5. panta 4. punkta pirmajā daļā ietverto apstākļu iestāšanos) un minētās rīcības brīvības izmantošanas apsvērumus, kā arī 5. panta 4. punkta otrajā daļā ietverto priekšnosacījumu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ar rīkojuma projektu tiek īstenots izņēmums no Latvijas Republikas valdības un Baltkrievijas Republikas valdības līguma par Latvijas–Baltkrievijas valsts robežas režīmu, kas ietverts šī līguma 14. panta otrajā daļā, lūdzam aizpildīt rīkojuma projekta anotācijas 5. sadaļu, skaidrojot atbilstību minētajam līgumam, jo īpaši minētajā daļā norādītajiem Pušu valstu starptautiskajiem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