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likuma 16. panta pirmā daļa noteic, ka pēc būvatļaujas saņemšanas tiek uzsākta būvatļaujas nosacījumu izpilde, nodrošinot būvprojekta izstrādi vispārīgajos un speciālajos būvnoteikumos noteiktajā apjomā, kā arī ievērojot vietējās pašvaldības teritorijas plānojumā, lokālplānojumā un detālplānojumā (ja tas nepieciešams saskaņā ar normatīvajiem aktiem) ietvertos teritorijas izmantošanas un apbūves noteikumus. Savukārt Ministru kabineta 2014. gada 19. augusta noteikumu Nr. 500 "Vispārīgie būvnoteikumi" 32. punkts noteic būvprojekta izstrādātāja pienākumu, izstrādājot būvprojektu, ievērot būvniecību reglamentējošos normatīvos aktus un tehniskās prasības. Ievērojot minēto, kā arī to, ka Elektronisko sakaru likums nav būvniecību reglamentējošs normatīvais akts,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- 96 dBm, būtu iekļaujams speciālajos būvnoteikumos vai būvnormatīvos, pretējā gadījumā šī norma ar ļoti augstu ticamību var tikt neievērota aiz neuzmanības, jo, piemēram, ēkas atjaunošana vai pārbūve ne vienmēr uzliek pienākumu izvērtēt, vai uz ieceri attiecināmas Elektronisko sakaru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likuma 1. pants definē, ka būves pārbūve ir būvdarbi, kuru rezultātā ir mainīts būves vai tās daļas apjoms vai pastiprināti nesošie elementi vai konstrukcijas, mainot vai nemainot lietošanas veidu. Termins “būtiski pārbūvējot” piedāvātajā Elektronisko sakaru likuma redakcijā ir pārāk neskaidrs, ņemot vērā, ka jau pats jēdziens “pārbūve” un ieceres atbilstība tam praksē rada neskaidrības un viedokļu nesakritības. Nav skaidra robežšķirtne starp “būtiski” un “nebūtiski”.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nevienlīdzīgu attieksmi attiecībā uz privātīpašumā esošajiem nekustamajiem īpašumiem, lūdzam labot (7)</w:t>
            </w:r>
            <w:r w:rsidR="00000000" w:rsidRPr="00000000" w:rsidDel="00000000">
              <w:rPr>
                <w:vertAlign w:val="superscript"/>
                <w:rtl w:val="0"/>
              </w:rPr>
              <w:t xml:space="preserve">1</w:t>
            </w:r>
            <w:r w:rsidR="00000000" w:rsidRPr="00000000" w:rsidDel="00000000">
              <w:rPr>
                <w:rtl w:val="0"/>
              </w:rPr>
              <w:t xml:space="preserve"> .daļu un attiecināt to uz visu 30.panta trešo daļu, nevis tikai uz 30.panta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Elektronisko sakaru likuma 30.panta septīto daļu, tādējādi nodrošinot normas atbilstību Satversmei.  Analoģiska norma tika iekļauta Ceļu satiksmes likumā, tomēr ar Latvijas Republikas Satversmes tiesa  2021.gada 7.oktobra spriedumā lietā Nr.2020-59-01 “Par Ceļu satiksmes likuma 7.1 panta trešās daļas atbilstību Latvijas Republikas Satversmes 105. panta pirmajam, otrajam un trešajam teikumam” atzīna Ceļu satiksmes likuma 7.1 panta trešo daļu, ciktāl tā neparedz individuālu izvērtējumu gadījumos, kad pastāv objektīva nepieciešamība pārvietot ceļu inženierbūvi vai satiksmes organizācijas tehnisko līdzekli, par neatbilstošu Latvijas Republikas Satversmes 105. panta pirmajam, otrajam un trešajam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elektronisko sakaru komersani ļaunprātīgi izmanto savas tiesības, tādējādi kavējot nekustamo īpašumu attīstību, izvirza nepamatotas prasības tehniskajos noteikumos, apstrīd būvatļaujas. Šāda rīcība ne tikai neveicina elektronisko sakaru tīkla attīstību, bet tieši pretēji apdraud tā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skaidrojošu aprakstu par plānoto būvniecības ieceri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panta redakcijas 2.punkts paredz nosacījumu “ja ēkas ārējās konstrukcijas turpmākai ekspluatācijai nepieciešama tās pārbūve vai atjaunošana un </w:t>
            </w:r>
            <w:r w:rsidR="00000000" w:rsidRPr="00000000" w:rsidDel="00000000">
              <w:rPr>
                <w:u w:val="single"/>
                <w:rtl w:val="0"/>
              </w:rPr>
              <w:t xml:space="preserve">saskaņā ar darbu organizēšanas projektu to nevar veikt, kamēr mobilo sakaru bāzes stacija ir izvietota uz nekustamā īpašuma ēkas ārējās konstrukcijas.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noteikumu Nr. 529 "Ēku būvnoteikumi" (turpmāk – Ēku būvnoteikumi) 24.3.3.apakšpunkts ēkas atjaunošanai paredz izstrādāt darbu organizēšanas shēmu (Ēku būvnoteikumu 1.12.apakšpunkts), kas satura un pielietojuma ziņā nav tas pats, kas darbu organizēšanas projekts (Ēku būvnoteikumu 25.2., 71.4., 72.4. apakšpunkts, 6.2.apakšpnodaļa). Ēku būvnoteikumi neparedz ēku atjaunošanai izstrādāt darbu organizēšanas projektu. Sekojoši grozījumi Elektronisko sakaru likumā paredz nosacījumu par izvērtējumu dokumentā, kas attiecīgajam būvniecības veidam nav izstrādājams.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17.04.2025.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17.04.2025.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Atzinumi_24-TA-1547.docx</dc:title>
</cp:coreProperties>
</file>

<file path=docProps/custom.xml><?xml version="1.0" encoding="utf-8"?>
<Properties xmlns="http://schemas.openxmlformats.org/officeDocument/2006/custom-properties" xmlns:vt="http://schemas.openxmlformats.org/officeDocument/2006/docPropsVTypes"/>
</file>