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22-TA-2897: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2006. gada 19. decembra noteikumos Nr. 1037 "Bāriņtiesas darbības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9.0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w:t>
            </w:r>
            <w:r w:rsidR="00000000" w:rsidRPr="00000000" w:rsidDel="00000000">
              <w:rPr>
                <w:vertAlign w:val="superscript"/>
                <w:rtl w:val="0"/>
              </w:rPr>
              <w:t xml:space="preserve">2</w:t>
            </w:r>
            <w:r w:rsidR="00000000" w:rsidRPr="00000000" w:rsidDel="00000000">
              <w:rPr>
                <w:rtl w:val="0"/>
              </w:rPr>
              <w:t xml:space="preserve">3. Fizisko personu reģistra informācijas par potenciālā aizbildņa vārdu, uzvārdu, dzimšanas gadu un deklarētās dzīvesvietas adresi un pašvaldības bāriņtiesu informācijas sistēmas informācijas par audžuģimenēm iegūšanas datums.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paredz izteikt jaunā redakcijā Ministru kabineta 2006. gada 19. decembra noteikumu Nr. 1037 "Bāriņtiesas darbības noteikumi" (turpmāk - Noteikumi) 81.</w:t>
            </w:r>
            <w:r w:rsidR="00000000" w:rsidRPr="00000000" w:rsidDel="00000000">
              <w:rPr>
                <w:vertAlign w:val="superscript"/>
                <w:rtl w:val="0"/>
              </w:rPr>
              <w:t xml:space="preserve">2</w:t>
            </w:r>
            <w:r w:rsidR="00000000" w:rsidRPr="00000000" w:rsidDel="00000000">
              <w:rPr>
                <w:rtl w:val="0"/>
              </w:rPr>
              <w:t xml:space="preserve">3. apakšpunktu, nosakot, ka pirms lēmuma pieņemšanas par bērna ārpusģimenes aprūpi bāriņtiesa sagatavo rakstisku pārskatu par darbībām, kas veiktas, lai bērnam nodrošinātu piemērotu aprūpi pie aizbildņa vai audžuģimenē un pārskatā iekļauj šādu informāciju: Fizisko personu reģistra informācijas par potenciālā aizbildņa vārdu, uzvārdu, dzimšanas gadu un deklarētās dzīvesvietas adresi un pašvaldības bāriņtiesu informācijas sistēmas informācijas par audžuģimenēm iegūšanas datums.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secināms, ka vienīgā informācija, ko bāriņtiesa iegūst no Fizisko personu reģistra, ir informācija par potenciālā aizbildņa vārdu, uzvārdu, dzimšanas gadu un deklarētās dzīvesvietas adresi.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Norādāms, ka saskaņā ar Noteikumos ietverto regulējumu bāriņtiesas iekārto dažādus reģistrus (audžuģimeņu lietu reģistrs, adopcijas lietu reģistru, aizbildnības lietu reģistru u.c.) un tajos tiek ietverti dažādi personu dati. Piemēram, saskaņā ar Noteikumu 19. punktu audžuģimeņu lietu reģistrā iekļaujama šāda informācija: tās personas vārds, uzvārds, personas kods un deklarētās dzīvesvietas adrese, kurai piešķirts audžuģimenes vai specializētās audžuģimenes statuss, audžuģimenē vai specializētajā audžuģimenē ievietotā bērna vārds, uzvārds, personas kods un deklarētās dzīvesvietas adrese. Ņemot vērā minēto, secināms, ka iespējams arī, piemēram, šos personas datus bāriņtiesa iegūst no Fizisko personu reģistra.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atkārtoti izvērtēt, kādu informāciju praksē bāriņtiesa iegūst no Fizisko personu reģistra, attiecīgi precizējot Noteikumu projektu (skaidri nosakot no Fizisko personu reģistra iegūstamās informācijas apjomu).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Sproģe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22-TA-2897</w:t>
    </w:r>
    <w:r>
      <w:br/>
    </w:r>
    <w:r w:rsidR="00000000" w:rsidRPr="00000000" w:rsidDel="00000000">
      <w:rPr>
        <w:rtl w:val="0"/>
      </w:rPr>
      <w:t xml:space="preserve">Izdrukāts 10.03.2025. 12.00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22-TA-2897</w:t>
    </w:r>
    <w:r>
      <w:br/>
    </w:r>
    <w:r w:rsidR="00000000" w:rsidRPr="00000000" w:rsidDel="00000000">
      <w:rPr>
        <w:rtl w:val="0"/>
      </w:rPr>
      <w:t xml:space="preserve">Izdrukāts 10.03.2025. 12.00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Atzinumi_22-TA-2897.docx</dc:title>
</cp:coreProperties>
</file>

<file path=docProps/custom.xml><?xml version="1.0" encoding="utf-8"?>
<Properties xmlns="http://schemas.openxmlformats.org/officeDocument/2006/custom-properties" xmlns:vt="http://schemas.openxmlformats.org/officeDocument/2006/docPropsVTypes"/>
</file>