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septembra noteikumos Nr. 714 "Noteikumi par mobilizācijas plāniem"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20. septembra noteikumos Nr. 714 "Noteikumi par mobilizācijas plāniem"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veikt grozījumu MK 20.09.2005. noteikumu Nr.714 “Noteikumi par mobilizācijas plāniem” 15.punktā, izsakot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"15.Tautsaimniecības mobilizācijas plānu un šo noteikumu 14.punktā minēto Valsts civilās aizsardzības plāna sadaļu “Mobilizējamie civilās aizsardzības formējumi” katru gadu līdz 1.aprīlim precizē tā valsts pārvaldes iestāde, kas to izstrādājusi. Nacionālo bruņoto spēku mobilizācijas plānu precizē reizi divos gados trīs mēnešu laikā pēc Valsts aizsardzības operacionālā plāna apstiprināšanas.”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Ričards Muižnieks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2005. gada 20. septembra noteikumos Nr. 714 "Noteikumi par mobilizācijas plāniem" (Latvijas Vēstnesis, 2005, 152. nr.; 2012, 70. nr.; 2014, 80.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apstākli, ka Ekonomikas ministrija notiekumu projektā plāno svītrot 9.1 apakšpunktu, kā argumentāciju antoācijā minot,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minētais Noteikumu Nr.714 9.1.apakšpunkts ir pretrunā ar citos normatīvajos aktos noteikto –</w:t>
            </w:r>
            <w:r w:rsidR="00000000" w:rsidRPr="00000000" w:rsidDel="00000000">
              <w:rPr>
                <w:u w:val="single"/>
                <w:rtl w:val="0"/>
              </w:rPr>
              <w:t xml:space="preserve"> Noteikumu Nr.968 2.punktu, ka enerģētikas politikas joma </w:t>
            </w:r>
            <w:r w:rsidR="00000000" w:rsidRPr="00000000" w:rsidDel="00000000">
              <w:rPr>
                <w:b w:val="1"/>
                <w:u w:val="single"/>
                <w:rtl w:val="0"/>
              </w:rPr>
              <w:t xml:space="preserve">(izņemot naftas produktu rezervju uzturēšanas un uzraudzības joma)</w:t>
            </w:r>
            <w:r w:rsidR="00000000" w:rsidRPr="00000000" w:rsidDel="00000000">
              <w:rPr>
                <w:rtl w:val="0"/>
              </w:rPr>
              <w:t xml:space="preserve"> ir nodota Klimata un enerģētikas ministrijai; Noteikumos Nr.313 noteikto drošības rezervju apjomu un kārtību, kādā tiek iegādātas un valsts īpašumā un uzturētas naftas produktu drošības rezerves noteiktā apjomā un veiktas drošības rezervju rotācija; Noteikumos Nr.185 noteikto par pirmās nepieciešamības precēm, ar kurām nodrošināmi iedzīvotāji valsts apdraudējuma gadījumā (pirmās nepieciešamības preces un to viena mēneša normas vienam iedzīvotājam noteiktas noteikumu pielikumā); kā arī Valsts materiālo rezervju likuma 5. panta 2. punktā noteikto, ka valsts materiālo rezervju nomenklatūru (tajā tiek norādīts materiālo resursu veids un apjoms, nozares ministrija) sagatavo Iekšlietu ministrija sadarbībā ar attiecīgajām nozaru ministrijām. Saskaņā ar Valsts materiālo rezervju likuma 2. panta otro daļu valsts materiālo rezervju nomenklatūru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Otrkārt, minētais Noteikumu Nr.714 9.1.apakšpunkts nosaka mobilizācijas īstenošanas uzdevumus Ekonomikas ministrijai kā nozares ministrijai</w:t>
            </w:r>
            <w:r w:rsidR="00000000" w:rsidRPr="00000000" w:rsidDel="00000000">
              <w:rPr>
                <w:rtl w:val="0"/>
              </w:rPr>
              <w:t xml:space="preserve">. Uz ministriju uzdevumiem to kompetencē esošajās tautsaimniecības nozarēs attiecas Noteikumu Nr.714 11.punkts, tāpēc nav nepieciešams atsevišķi izdalīt Ekonomikas ministrijas kā nozares ministrijas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skaidrojumu (apliecinājumu) par to, ka Ekonomikas ministrijas sākotnēji pārziņā esošā naftas produktu rezervju uzturēšanas un uzraudzības joma ir nodota sabiedrībai ar ierobežotu atbildību "Publisko aktīvu pārvaldītājs Possessor", kura arī veic naftas rezervju </w:t>
            </w:r>
            <w:r w:rsidR="00000000" w:rsidRPr="00000000" w:rsidDel="00000000">
              <w:rPr>
                <w:b w:val="1"/>
                <w:u w:val="single"/>
                <w:rtl w:val="0"/>
              </w:rPr>
              <w:t xml:space="preserve">plānošanu, tai skaitā attiecībā uz potenciāliem mobilizācijas gadījumiem. </w:t>
            </w:r>
            <w:r w:rsidR="00000000" w:rsidRPr="00000000" w:rsidDel="00000000">
              <w:rPr>
                <w:rtl w:val="0"/>
              </w:rPr>
              <w:t xml:space="preserve">Dotajā brīdī anotācijā minētais problēmas risinājums neliek viennozīmīgi noprast, ka naftas rezervju plānošana mobilizācijas vajadzībām ir deleģēta kādai citai kompetentajai institūcijai.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Ričards Muižnieks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18.12.2025.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18.12.2025.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Atzinumi_25-TA-2219.docx</dc:title>
</cp:coreProperties>
</file>

<file path=docProps/custom.xml><?xml version="1.0" encoding="utf-8"?>
<Properties xmlns="http://schemas.openxmlformats.org/officeDocument/2006/custom-properties" xmlns:vt="http://schemas.openxmlformats.org/officeDocument/2006/docPropsVTypes"/>
</file>