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mērķis ir veikt pētījumus, lai gūtos rezultātus izmantotu azartspēļu jomas normatīvo aktu pilnveidošanai, kas mazinātu azartspēļu spēlēšanas risku iestāšanos personai un ar to saistītās sekas.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7. punktā minēto pasākuma mērķi salāgot ar anotācijas 1.3. sadaļā minēto pasākuma mērķi: "</w:t>
            </w:r>
            <w:r w:rsidR="00000000" w:rsidRPr="00000000" w:rsidDel="00000000">
              <w:rPr>
                <w:i w:val="1"/>
                <w:rtl w:val="0"/>
              </w:rPr>
              <w:t xml:space="preserve">Pasākuma mērķis ir veikt pētījumus, lai gūtos rezultātus izmantotu azartspēļu jomas normatīvo aktu pilnveidošanai, kas mazinātu azartspēļu spēlēšanas risku iestāšanos personai un ar to saistītu seku mazināšanu, </w:t>
            </w:r>
            <w:r w:rsidR="00000000" w:rsidRPr="00000000" w:rsidDel="00000000">
              <w:rPr>
                <w:i w:val="1"/>
                <w:u w:val="single"/>
                <w:rtl w:val="0"/>
              </w:rPr>
              <w:t xml:space="preserve">kā arī preventīvi informētu jauniešus par azartspēļu spēlēšanas risku aspektiem.</w:t>
            </w:r>
            <w:r w:rsidR="00000000" w:rsidRPr="00000000" w:rsidDel="00000000">
              <w:rPr>
                <w:rtl w:val="0"/>
              </w:rPr>
              <w:t xml:space="preserve">" Attiecīgi lūdzam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ir nacionāla, reģionāla vai vietēja mēroga valsts administrācijas vai sabiedrisko pakalpojumu iestāžu, kas saņēmušas atbalstu, sniegto pakalpojumu skaits, līdz 2029. gada 31. decembrim nodrošinot, ka atbalstu būs saņēmusi vismaz viena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projekta 9. punktā paredzētais pasākuma iznākuma rādītājs. Pirmkārt, nav skaidrs, kas, ņemot vērā projektā ietverto regulējumu attiecībā uz finansējuma saņēmēju un sadarbības partneri, domāts ar "nacionāla, reģionāla vai vietēja mēroga valsts administrācijas vai sabiedrisko pakalpojumu iestādēm, kas saņēmušas atbalstu" un kāda ir nozīme nosacījumam "līdz 2029. gada 31. decembrim nodrošinot, ka atbalstu būs saņēmusi vismaz viena iestāde". Otrkārt, nav skaidrs, vai iznākuma rādītājs ir iestāžu skaits vai to sniegto pakalpojumu skaits, kā arī nav skaidrs, par kādiem iestāžu sniegtajiem pakalpojumiem ir runa.  Attiecīgi lūdzam vai nu precizēt rādītāju, vai nu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ir atbalstāmi veselības veicināšanas un slimību profilakses pasākumi, ievērojot šādas sabiedrības veselības prioritārās jomas, kas novērstu priekšlaicīgu mirstību, darba nespēju, veicinātu dzīves kvalitāti un uzlabotu veselībpratību Latvijas iedzīvotājiem visos vecuma posmos un dažādām mērķa grupām atkarībā no veselības veicināšanas un slimību profilakses jomas: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projektu vai skaidrot projekta 18. punkta nepieciešamību kontekstā ar 19. punktā jau norādītajām atbalstāmajām darbībām pasākuma ietvaros. Proti, nav skaidrs, vai 18. punkta mērķis ir noteikt vēl kādas atbalstāmās darbības (proti, konkrēta satura pasākumus), un, ja jā, kā tas atbilst projekta 7. punktā noteiktajam pasākuma mērķim, kas ir "veikt </w:t>
            </w:r>
            <w:r w:rsidR="00000000" w:rsidRPr="00000000" w:rsidDel="00000000">
              <w:rPr>
                <w:u w:val="single"/>
                <w:rtl w:val="0"/>
              </w:rPr>
              <w:t xml:space="preserve">pētījumus</w:t>
            </w:r>
            <w:r w:rsidR="00000000" w:rsidRPr="00000000" w:rsidDel="00000000">
              <w:rPr>
                <w:rtl w:val="0"/>
              </w:rPr>
              <w:t xml:space="preserve">, lai gūtos rezultātus izmantotu azartspēļu jomas normatīvo aktu pilnveidošanai, kas mazinātu azartspēļu spēlēšanas risku iestāšanos personai un ar to saistītās sekas". Attiecīgi lūdzam vai nu precizēt projektu, vai nu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iepriekš minēto, aicinām arī anotācijā izvērstāk skaidrot, kādēļ pasākumā, ņemot vērā tā nosaukumu, paredzēts atbalstīt tieši konkrētās darbības (pamatā - pētījumu veikšana), tostarp arī skaidrojot, vai paredzēts (un ja jā, kādu pasākumu ietvaros) atbalstīt arī darbības, ar kurām īsteno, piemēram, iedzīvotāju informēšanas pasākumus par azartspēļu atkarībām u.c. pasākumus (sk. Eiropas Savienības kohēzijas politikas programmas 2021.–2027. gadam, kas atbalstīta ar Ministru kabineta 2021. gada 16. novembra rīkojumu Nr. 841 "Par Eiropas Savienības kohēzijas politikas programmu 2021.–2027. gadam", 250. punktu par atbalstāmajām darbībām saistībā ar azarstpēļu atkarības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 atbalstāmā darbība ietver visas ar pētījumu īstenošanu saistītās izmaksas, kas radušās uz pakalpojuma līguma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projekta 22. punktā domāts ar "visām ar pētījumu </w:t>
            </w:r>
            <w:r w:rsidR="00000000" w:rsidRPr="00000000" w:rsidDel="00000000">
              <w:rPr>
                <w:u w:val="single"/>
                <w:rtl w:val="0"/>
              </w:rPr>
              <w:t xml:space="preserve">īstenošanu</w:t>
            </w:r>
            <w:r w:rsidR="00000000" w:rsidRPr="00000000" w:rsidDel="00000000">
              <w:rPr>
                <w:rtl w:val="0"/>
              </w:rPr>
              <w:t xml:space="preserve"> saistītajām izmaksām, kas radušās uz pakalpojuma līguma pamata", ja nepieciešams, sniedzot piemērus. Papildus lūdzam salāgot noteikumu projektā paredzēto ar anotācijā minēto: "</w:t>
            </w:r>
            <w:r w:rsidR="00000000" w:rsidRPr="00000000" w:rsidDel="00000000">
              <w:rPr>
                <w:i w:val="1"/>
                <w:rtl w:val="0"/>
              </w:rPr>
              <w:t xml:space="preserve">Atbalstāmā darbība “sabiedrības veselības pētījumi (spēlētāju pazīmju definēšana, indicēto profilakšu programmas, azartspēļu ietekme uz videospēlēm, azartspēļu un izložu reklāmas ierobežojumu efektivitāte, motivācija iesaistīties nelicencētās azartspēlēs)” ietver visas </w:t>
            </w:r>
            <w:r w:rsidR="00000000" w:rsidRPr="00000000" w:rsidDel="00000000">
              <w:rPr>
                <w:i w:val="1"/>
                <w:u w:val="single"/>
                <w:rtl w:val="0"/>
              </w:rPr>
              <w:t xml:space="preserve">ar pētījumu īstenošanu un informācijas izplatīšanu ar pētījumiem</w:t>
            </w:r>
            <w:r w:rsidR="00000000" w:rsidRPr="00000000" w:rsidDel="00000000">
              <w:rPr>
                <w:i w:val="1"/>
                <w:rtl w:val="0"/>
              </w:rPr>
              <w:t xml:space="preserve"> saistītās izmaksas</w:t>
            </w:r>
            <w:r w:rsidR="00000000" w:rsidRPr="00000000" w:rsidDel="00000000">
              <w:rPr>
                <w:rtl w:val="0"/>
              </w:rPr>
              <w:t xml:space="preserve">." Papildus aicinām redakcionāli precizēt normas redakciju, ņemot vērā, ka darbība ietver darbību, savukārt izmaksas ietver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ietvertais skaidrojums par projekta 32. punktu neatbilst noteikumu projekta 32. punktā norādītajam subjektam, uz kuru attiecināma norma (proti, finansējuma saņēmēju, nevis projekta iesniedzēju). Attiecīgi lūdzam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veselības pētījumi (spēlētāju pazīmju definēšana, indicēto profilakšu programmas, azartspēļu ietekme uz videospēlēm, azartspēļu un izložu reklāmas ierobežojumu efektivitāte, motivācija iesaistīties nelicencētās azartspēlēs);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vai projekta 19.2. apakšpunktā iekavās ietvertais uzskaitījums ir piemērveida vai izsmeļošs uzskaitījums. Ja uzskaitījums ir piemērveida, aicinām to attiecīgi norādīt (piemēram, izmantojot vārdu "piemēram") vai arī izvērtēt iespēju iekavās ietverto informāciju ietvert anotācijā.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06.12.2023.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06.12.2023.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Atzinumi_23-TA-2835.docx</dc:title>
</cp:coreProperties>
</file>

<file path=docProps/custom.xml><?xml version="1.0" encoding="utf-8"?>
<Properties xmlns="http://schemas.openxmlformats.org/officeDocument/2006/custom-properties" xmlns:vt="http://schemas.openxmlformats.org/officeDocument/2006/docPropsVTypes"/>
</file>