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ceturtās un piektās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ceturtajā un piektajā atlases kārtā projektā, kurā netiek sniegts komercdarbības atbalsts, projekta darbību rezultātā var rasties ieņēmumi (piemēram, no koksnes un šķeldas realizācijas), šo ieņēmumu uzskaitei projekta iesniedzējs nodrošina finanšu analīzes veikšanu atbilstoši sadarbības iestādes izstrādātajiem metodiskajiem norādījumiem. Pamatojoties uz finanšu analīzē norādīto neto ieņēmumu apmēru, kas tiek precizēts atbilstoši faktiskajam, ne vēlāk kā pirms pēdējā maksājuma veikšanas, tiek samazināts Taisnīgas pārkārtošanās fonda līdzfinansējuma apmērs. Pēc projekta darbību pabeigšanas, īstenojot renaturalizāciju un ūdenstilpju izveidi, kas attiecināma uz dabas aizsardzības prasību īstenošanu, ieņēmumi ik gadu projekta dzīves ciklā nepārsniedz 50 procentus no attiecīgās infrastruktūras un atjaunoto teritoriju uzturēšanas izdevumiem un tiem jābūt norādītiem finanšu analīzē.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skaidri norādīt, ka visiem projektu iesniedzējiem ir jāiesniedz finanšu analīze, ja tie plāno renaturalizāciju un ūdenstilpju izveidi un komercdarbības atbalsts netiek piešķirts. No šī brīža redakcijas varētu noprast, ka šādu dokumentu jāsagatavo tikai tad, ja ir plānotie ieņēmumi no koksnes un šķeldas. Vēršam uzmanību, ka jau sākotnējā finanšu analīzē tiks samazināta TPF likme atbilstoši prognozei un ka pie noslēguma maksājuma TPF likmi samazinās, ja faktiskie ieņēmumi pārsniegs prognozētos.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 </w:t>
            </w:r>
            <w:r w:rsidR="00000000" w:rsidRPr="00000000" w:rsidDel="00000000">
              <w:rPr>
                <w:i w:val="1"/>
                <w:rtl w:val="0"/>
              </w:rPr>
              <w:t xml:space="preserve">de minimis</w:t>
            </w:r>
            <w:r w:rsidR="00000000" w:rsidRPr="00000000" w:rsidDel="00000000">
              <w:rPr>
                <w:rtl w:val="0"/>
              </w:rPr>
              <w:t xml:space="preserve"> atbalsta piešķiršanas brīdis ir diena, kad tiek pieņemts lēmums par projekta iesnieguma apstiprināšanu vai sniegts atzinums par lēmumā noteikto nosacījumu izpildi, ja iepriekš pieņemts lēmums par projekta iesnieguma apstiprināšanu ar nosacījumu. Ja papildu </w:t>
            </w:r>
            <w:r w:rsidR="00000000" w:rsidRPr="00000000" w:rsidDel="00000000">
              <w:rPr>
                <w:i w:val="1"/>
                <w:rtl w:val="0"/>
              </w:rPr>
              <w:t xml:space="preserve">de minimis </w:t>
            </w:r>
            <w:r w:rsidR="00000000" w:rsidRPr="00000000" w:rsidDel="00000000">
              <w:rPr>
                <w:rtl w:val="0"/>
              </w:rPr>
              <w:t xml:space="preserve">atbalsts tiek piešķirts projekta īstenošanas laikā, par atbalsta piešķiršanas brīdi uzskata dienu, kad tiek parakstīti attiecīgie civiltiesiskā līguma vai vienošanās par projekta īstenošanu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53.4.apakšpunkts un 85.punkts pieļauj papildus komercdarbības atbalsta piešķiršanu atbalsta pretendentam projekta īstenošanas laikā, kas būs jauns komercdarbības atbalsts. Vienlaikus, noteikumu projekta 53.5. un 75.8.apakšpunkts nepieļauj šo noteikumu ietvaros piešķirtā atbalsta kumulāciju ar citu komercdarbības atbalstu, kas ir pretrunā noteikumu projekta 53.4.apakšpunktā un 85.punktā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noteikumu projekta nav skaidrs kādām izmaksām papildus de minimis atbalsts tiks piešķirts, attiecīgi nav iespējams izvērtēt, vai netiktu pārkāpti attiecīgā komercdarbības regulējuma kumulācijas nosacījumi, ja kumulācija tomēr ir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vērē iepriekš minēto, lūdzam pārskatīt minētās normas un precizēt noteikumus, tostarp skaidri nosakot atbalsta kumulācijas iespējas, vienlaikus iekļaujot papildus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75.1.2. pasākuma piektajā atlases kārtā, ja finansējuma saņēmējs ir fiziska persona, sadarbības iestāde, ievērojot šo noteikumu </w:t>
            </w:r>
            <w:r w:rsidR="00000000" w:rsidRPr="00000000" w:rsidDel="00000000">
              <w:rPr>
                <w:rtl w:val="0"/>
              </w:rPr>
              <w:t xml:space="preserve">75.1.1. </w:t>
            </w:r>
            <w:r w:rsidR="00000000" w:rsidRPr="00000000" w:rsidDel="00000000">
              <w:rPr>
                <w:rtl w:val="0"/>
              </w:rPr>
              <w:t xml:space="preserve">apakšpunktā</w:t>
            </w:r>
            <w:r w:rsidR="00000000" w:rsidRPr="00000000" w:rsidDel="00000000">
              <w:rPr>
                <w:rtl w:val="0"/>
              </w:rPr>
              <w:t xml:space="preserve"> minēto normatīvo aktu un vadlīniju prasības, nodrošina komunikācijas un vizuālās identitātes pasākumu īstenošanu publicējot informāciju par projektu. Projekta iesniedzējs apliecina, ka neiebilst pret projektu raksturojošās informācijas publicēšanu;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konkrētu brīdi, kad Sadarbības iestādei jāpublicē informācija par projektu, piemēram, līdzīgi kā 2.2.3.6. pasākumā "</w:t>
            </w:r>
            <w:r w:rsidR="00000000" w:rsidRPr="00000000" w:rsidDel="00000000">
              <w:rPr>
                <w:i w:val="1"/>
                <w:rtl w:val="0"/>
              </w:rPr>
              <w:t xml:space="preserve">Gaisa piesārņojumu mazinošu pasākumu īstenošana, uzlabojot mājsaimniecību siltumapgādes sistēmas</w:t>
            </w:r>
            <w:r w:rsidR="00000000" w:rsidRPr="00000000" w:rsidDel="00000000">
              <w:rPr>
                <w:rtl w:val="0"/>
              </w:rPr>
              <w:t xml:space="preserve">", kur informācija jāpublicē pēc projekta pabeigšanas; kā arī publicējamās informācijas apjomu (piemēram, projekta numurs, nosaukums, finansējuma saņēmējs, sākuma un beigu datums, TPF finansējums, sasniegtais mērķis vai tamlīdzīgi). Publicējamo informācijas apjomu var norādīt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tiek pārkāpti regulas Nr.  651/2014, regulas Nr. 2023/2831 vai regulas Nr. 2022/2472 nosacījumi, finansējuma saņēmējam ir pienākums atmaksāt sadarbības iestādei projekta ietvaros saņemto nelikumīgo komercdarbības atbalstu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atbalsts tiks piešķirts gan finansējuma saņēmējam, gan sadarbības partnerim (ja attiecināms), lūdzam papildināt noteikumu projekta 81.punktu tā, lai skaidrs, ka nelikumīgo komercdarbības atbalstu atmaksā arī sadarbības partneris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nosaka, ka atsevišķos gadījumos pie projekta ir jāpievieno finanšu analīze, kas ir daļa no projekta izmaksu un ieguvumu analīzes, taču anotācijā ir norādīts, ka tiks vērtēts izmaksu lietderīgums, ievērojot prasības, ka projekta ekonomiskā ienesīguma normai ir jābūt lielākai par sociālā diskonta likmi. Ekonomisko ienesīguma normu var aprēķināt tikai projekta sociālekonomiskās analīzes ietvaros, bet tādu nav paredzēts izstrādāt. Lūdzu salāgot anotācijas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ceturto un piekto atlases kārtu īsteno līdz 2029. gada 31. decembrim, sasniedzot šādus uzraudzības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rādītājus atbilstoši Viedās administrācijas un reģionālās attīstības ministrijas 2025. gada 5. decembra elektroniskā pasta vēstulē atsūtītajam rādītāju </w:t>
            </w:r>
            <w:r w:rsidR="00000000" w:rsidRPr="00000000" w:rsidDel="00000000">
              <w:rPr>
                <w:i w:val="1"/>
                <w:rtl w:val="0"/>
              </w:rPr>
              <w:t xml:space="preserve">Excel </w:t>
            </w:r>
            <w:r w:rsidR="00000000" w:rsidRPr="00000000" w:rsidDel="00000000">
              <w:rPr>
                <w:rtl w:val="0"/>
              </w:rPr>
              <w:t xml:space="preserve">dokumentam, kā arī salāgot to ar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iznākuma rādītāji ir savstarpēji līdzsvaroti starp atlases kārtām un sasniedzami pieejamā finansējuma ietvaros un papildināt anotāciju ar skaidrojošo informāciju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piemērot zaļo publisko iepirkumu, lai veicinātu Eiropas Zaļā kursa un klimata pārmaiņu mērķu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Pasākuma ceturtās un piektās atlases kārtas ietvaros atbalstāma ir šādu darbību veikšana šo noteikumu </w:t>
            </w:r>
            <w:r w:rsidR="00000000" w:rsidRPr="00000000" w:rsidDel="00000000">
              <w:rPr>
                <w:rtl w:val="0"/>
              </w:rPr>
              <w:t xml:space="preserve">3. </w:t>
            </w:r>
            <w:r w:rsidR="00000000" w:rsidRPr="00000000" w:rsidDel="00000000">
              <w:rPr>
                <w:rtl w:val="0"/>
              </w:rPr>
              <w:t xml:space="preserve">punkta</w:t>
            </w:r>
            <w:r w:rsidR="00000000" w:rsidRPr="00000000" w:rsidDel="00000000">
              <w:rPr>
                <w:rtl w:val="0"/>
              </w:rPr>
              <w:t xml:space="preserve"> minētajās teritorijās saskaņā ar šo noteikumu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minētajām revitalizācijas stratēģijām vai atzinumiem, kas tiek segtas saskaņā ar atbildīgās iestādes apstiprināto un vadošās iestādes saskaņoto vienas vienības izmaksu likmju aprēķina un piemērošanas metodiku (turpmāk -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22. punktā minēta vienas vienības izmaksu likmju aprēķina un piemērošanas metodika ir tā pati metodika, kas minēta pārejos noteikumu projekta punktos - 22.5. apakšpunktā, 26., 40., 42., 48., 51., 53. un 76. punktā. Ja metodikas ir vairākas, lūdzam atbilstoši precizēt, lai viennozīmīgi būtu skaidrs, ka runa ir par vairākām metodikām. Vienlaicīgi lūdzam sniegt informāciju kādā izstrādes stadijā šobrīd ir šī metodika un kādos termiņos to plānots saskaņot ar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projekta iesniedzējam un sadarbības partnerim (ja attiecināms), kurš ir administratīvi sodīts saskaņā ar Meža likuma 51. pantu ceturto, sesto, astoto, 10., 11., 12., 14., 15. vai 16. daļu un sodāmība nav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sniedzot skaidrojumu par pārbaudes kārtību – kā un kad (piemēram, uz projekta iesniegšanas dienu) tiek veikta sodāmības pārbaude un kompetento iestādi – pie kuras iestādes sadarbības iestādei jāvēršas, lai pārliecinātos, ka projekta iesniedzējs un sadarbības partneris nav administratīvi sodīts saskaņā ar Meža likuma 51. pantu 4., 6., 8., 10.–12., 14.–16.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Jucīte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75.7. nodrošina, ka nekustamais īpašums vai tā daļa, kurā tiek īstenotas projektā paredzētās darbības, visa projekta dzīves cikla laikā ir finansējuma saņēmēja vai sadarbības partnera (ja attiecināms) īpašumā, valdījumā vai turējumā vai arī atrodas nekustamajā īpašumā, uz kuru finansējuma saņēmējam un sadarbības partnerim (ja attiecināms) ir spēkā esošas apbūves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anotācijā, kā tiks nodrošināts, ka projekta īstenošanas laikā netiek veiktas projekta būtiskas izmaiņas (kas ietekmē darbības veidu, mērķus vai īstenošanas nosacījumus, tādējādi traucējot tās sākotnējo mērķu sasniegšanu) gadījumā, ja nekustamais īpašums vai tā daļa atrodas finansējuma saņēmēja vai sadarbības partnera </w:t>
            </w:r>
            <w:r w:rsidR="00000000" w:rsidRPr="00000000" w:rsidDel="00000000">
              <w:rPr>
                <w:u w:val="single"/>
                <w:rtl w:val="0"/>
              </w:rPr>
              <w:t xml:space="preserve">turējumā</w:t>
            </w:r>
            <w:r w:rsidR="00000000" w:rsidRPr="00000000" w:rsidDel="00000000">
              <w:rPr>
                <w:rtl w:val="0"/>
              </w:rPr>
              <w:t xml:space="preserve">, un tiek veiktas izmaiņas turējuma tiesībās.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Pēc civiltiesiskā līguma vai vienošanās par projekta īstenošanu noslēgšanas sadarbības iestāde, pamatojoties uz finansējuma saņēmēja rakstisku avansa pieprasījumu, atbilstoši normatīvajiem aktiem par valsts budžeta līdzekļu plānošanas kārtību Eiropas Savienības fondu projektu īstenošanai un maksājumu veikšanai 2021.–2027. gada plānošanas periodā, nodrošina finansējuma saņēmējam un sadarbības partnerim (ja attiecināms) avansa maksājumus, kurus var izmaksāt vairākos maksājumos, ievērojot, ka avansa un starpposma maksājumu kopsumma nepārsniedz 50 procentus no projektam piešķirtā Taisnīgas pārkārtošanās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25. aprīļa noteikumu Nr. 205 "Valsts budžeta līdzekļu plānošanas kārtība Eiropas Savienības fondu projektu īstenošanai un maksājumu veikšanai 2021.–2027. gada plānošanas periodā" 10. punkts paredz, ka </w:t>
            </w:r>
            <w:r w:rsidR="00000000" w:rsidRPr="00000000" w:rsidDel="00000000">
              <w:rPr>
                <w:i w:val="1"/>
                <w:rtl w:val="0"/>
              </w:rPr>
              <w:t xml:space="preserve">sadarbības iestāde, veicot avansa maksājumus, ievēro nosacījumu, ka maksimālais avansa apjoms nevar pārsniegt 30 % no projektam piešķirtā Eiropas Savienības fonda finansējuma un, ja tas ir paredzēts projektā, valsts budžeta līdzfinansējuma kopsummas, ja vien normatīvajā aktā par specifiskā atbalsta mērķa īstenošanu nav paredzēts citādi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82. punkts paredz, ka </w:t>
            </w:r>
            <w:r w:rsidR="00000000" w:rsidRPr="00000000" w:rsidDel="00000000">
              <w:rPr>
                <w:u w:val="single"/>
                <w:rtl w:val="0"/>
              </w:rPr>
              <w:t xml:space="preserve">avansa un starpposma</w:t>
            </w:r>
            <w:r w:rsidR="00000000" w:rsidRPr="00000000" w:rsidDel="00000000">
              <w:rPr>
                <w:rtl w:val="0"/>
              </w:rPr>
              <w:t xml:space="preserve"> maksājumu kopsumma nepārsniedz 50% no projektam piešķirtā Taisnīgas pārkārtošanās fonda finansējuma, savukārt anotācijas 1.3. sadaļas apakšsadaļā "Risinājuma apraksts" noteikts, ka tieši </w:t>
            </w:r>
            <w:r w:rsidR="00000000" w:rsidRPr="00000000" w:rsidDel="00000000">
              <w:rPr>
                <w:u w:val="single"/>
                <w:rtl w:val="0"/>
              </w:rPr>
              <w:t xml:space="preserve">avansa</w:t>
            </w:r>
            <w:r w:rsidR="00000000" w:rsidRPr="00000000" w:rsidDel="00000000">
              <w:rPr>
                <w:rtl w:val="0"/>
              </w:rPr>
              <w:t xml:space="preserve"> maksājumi nepārsniedz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regulējuma viennozīmīgas interpretācijas nolūkos precizēt noteikumu projekta 82. punktu, ja paredzēts, ka maksimālais </w:t>
            </w:r>
            <w:r w:rsidR="00000000" w:rsidRPr="00000000" w:rsidDel="00000000">
              <w:rPr>
                <w:u w:val="single"/>
                <w:rtl w:val="0"/>
              </w:rPr>
              <w:t xml:space="preserve">avansa</w:t>
            </w:r>
            <w:r w:rsidR="00000000" w:rsidRPr="00000000" w:rsidDel="00000000">
              <w:rPr>
                <w:rtl w:val="0"/>
              </w:rPr>
              <w:t xml:space="preserve"> apjoms pārsniegs 30% no projektam piešķirtā Taisnīgas pārkārtošanās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82. un 83. punktu un anotāciju, ņemot vērā, ka avansa maksājumi tiek piešķirti finansējuma saņēmējam, nevis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3.punktā paredzēto, lūdzam papildināt anotācijas 1.3.sadaļu ar īsu skaidrojumu par to, kā arī protokollēmuma projekta 3.punktu papildināt ar informāciju par kopējā attiecināmā finansējuma un pašvaldības budžeta līdzfinansējuma kopsummām attiecībā uz  6.1.1.1. pasākuma "Atteikšanās no kūdras izmantošanas enerģētikā" otrās projektu iesniegumu atlases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kopējo un Taisnīgas pārkārtošanās fonda finansējumu sadalījumu pa gadiem, un salāgot ar kopējo Taisnīgas pārkārtošanās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11.punktā paredzēto, ka piektajā kārtā kā nacionālais līdzfinansējums var būt arī pašvaldības budžeta finansējums, ja kā sadarbības partneris tiek piesaistīta pašvaldība, lūdzam anotācijas 3.sadaļas pirmajā rindkopā pievienot skaidrojumu, kāpēc tajā ir norādīts, ka attiecībā uz piekto kārtu netiek plānota nacionāla līdzfinansējuma ietekme, jo to segs finansējuma saņēmēji no privātajiem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un 2027.gadam ailēs “saskaņā ar vidēja termiņa budžeta ietvaru” norādīto informāciju pārcelt uz ailēm “izmaiņas, salīdzinot ar vidēja termiņa budžeta ietvaru”, tai skaitā aizpildot 5.3.apakšpunktus, ievērojot, ka ceturtās un piektās projektu iesniegumu atlases kārtas vēl nav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- 2026.gadam precizēt 1.1. un 2.1.apakšpunktos norādīto apmēru, lai tas atbilstu 6.punktā norādītajam Taisnīgas pārkārtošanās fonda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- 6.2.apakšpunktā precizēt norādīto informāciju, jo noteikumu projekts neparedz līdzfinansējumu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09.12.2025.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09.12.2025.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Atzinumi_25-TA-2249.docx</dc:title>
</cp:coreProperties>
</file>

<file path=docProps/custom.xml><?xml version="1.0" encoding="utf-8"?>
<Properties xmlns="http://schemas.openxmlformats.org/officeDocument/2006/custom-properties" xmlns:vt="http://schemas.openxmlformats.org/officeDocument/2006/docPropsVTypes"/>
</file>