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un </w:t>
            </w:r>
            <w:r w:rsidR="00000000" w:rsidRPr="00000000" w:rsidDel="00000000">
              <w:rPr>
                <w:rtl w:val="0"/>
              </w:rPr>
              <w:t xml:space="preserve">Klimatnoturības un ekonomiskās ilgtspējas likuma</w:t>
            </w:r>
            <w:r w:rsidR="00000000" w:rsidRPr="00000000" w:rsidDel="00000000">
              <w:rPr>
                <w:rtl w:val="0"/>
              </w:rPr>
              <w:t xml:space="preserve"> 15. panta astotās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tiesību akta izdošanas pamatojumā būtu jāsvītro likuma "Par piesārņojumu" 32.</w:t>
            </w:r>
            <w:r w:rsidR="00000000" w:rsidRPr="00000000" w:rsidDel="00000000">
              <w:rPr>
                <w:vertAlign w:val="superscript"/>
                <w:rtl w:val="0"/>
              </w:rPr>
              <w:t xml:space="preserve">2 </w:t>
            </w:r>
            <w:r w:rsidR="00000000" w:rsidRPr="00000000" w:rsidDel="00000000">
              <w:rPr>
                <w:rtl w:val="0"/>
              </w:rPr>
              <w:t xml:space="preserve">pants, ievērojot, ka tas ir zaudējis spēku ar 12.12.2025.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informācija, kā tiks nodrošināta demarkācija ar Ministru kabineta 2023.gada 4.aprīļa noteikumiem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vairākas potenciālās izmaiņas var negatīvi ietekmēt EKII finansējuma izlietošanas efektivitāti. Piemēram, atbalsta intensitātes palielināšana. Savukārt Fizikālā Enerģētikas institūta aprēķini, kas veikti "PROJEKTS NR. LV-CLIMATE-0001 “KLIMATA PĀRMAIŅU POLITIKAS INTEGRĀCIJA NOZARU UN REĢIONĀLAJĀ POLITIKĀ”" ietvaros, norāda, ka pasākumi "Biomasas apkures katla nomaiņa ēkā, uzstādot jaunu energoefektīvu biomasas katlu" un "Siltumsūkņu uzstādīšana ēku siltumapgādei, aizvietojot biomasas kurināmo izmantojošu apkures tehnoloģiju" ir ar salīdzinoši ļoti zemu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vai piedāvātie grozījumi esošajā redakcijā potenciāli nesamazinās izlietotā EKII finansējuma potenciālo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17.06.2026.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17.06.2026.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Atzinumi_25-TA-3093.docx</dc:title>
</cp:coreProperties>
</file>

<file path=docProps/custom.xml><?xml version="1.0" encoding="utf-8"?>
<Properties xmlns="http://schemas.openxmlformats.org/officeDocument/2006/custom-properties" xmlns:vt="http://schemas.openxmlformats.org/officeDocument/2006/docPropsVTypes"/>
</file>