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un Iekšlietu ministrijai sadarbībā ar valstspilsētām līdz 2024.gada 1.decembrim definēt kritiskās infrastruktūras transportā nepieciešamo transportlīdzekļu skaitu atbilstoši Nacionālās drošības likumam valstspilsētu sabiedriskā transporta attīstības plānošanai.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neatbalsta Ministru kabineta protokollēmuma otrajā punktā ietverto uzdevumu un aicina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no kādiem apsvērumiem izriet šajā punktā ietvertā uzdevuma nepieciešamība, jo no projekta tas nav izsecināms. Tāpat nav skaidrs uzdevuma izpildē sasniedzamais rezultāts un veicamo darbību saistība ar izstrādāto likumprojektu. Vēršam uzmanību, ka sabiedriskais transports pašlaik nav kritiskā infrastruktūra, bet attiecīgo jautājumu risināšana neietilpst izstrādātā likumprojekta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05.03.2024. 08.18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05.03.2024. 08.18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