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Eiropas Savienības nozīmes un Latvijas īpaši aizsargājamo biotopu un sugu (turpmāk – īpaši aizsargājamie biotopi un īpaši aizsargājamās sugas) aizsardzību, lai saglabātu vai atjaunotu labvēlīgu aizsardzības statusu tiem biotopiem un sugu populācijām, kuru dēļ Nacionālais parks ir noteikts kā Eiropas nozīmes aizsargājamās dabas teritorija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pausto iebildumu un lūdz svītrot paskaidrojumu iekavās "(turpmāk – īpaši aizsargājamie biotopi un īpaši aizsargājamās sugas)", jo šo abu terminu apvienošana var radīt pārpratumus normatīvo aktu piemērošanā. Sugu un biotopu aizsardzības likumā ir noteikts atšķirīgs regulējums Eiropas nozīmes biotopiem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Eiropas Savienības nozīmes un Latvijas īpaši aizsargājamo biotopu un sugu aizsardzību, lai saglabātu vai atjaunotu labvēlīgu aizsardzības statusu tiem biotopiem un sugu populācijām, kuru dēļ Nacionālais parks ir noteikts kā Eiropas nozīmes aizsargājamās dabas teritorija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 parka teritorijā ir šādas funkcionālās zonas: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iebildumu par nepieciešamību pārskatīt piedāvātās funkcionālo zonu izmaiņas, ņemot vērā meža īpašnieku un sabiedrības kopējo neapmierinātību. Piedāvātais zoējums neatbilst sabiedrības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06.06.2025.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06.06.2025.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