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564 "Uzturēšanās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projekta 1. punktu noteikumu izdošanas tiesiskais pamatojums tiek papildināts ar norādi uz Imigrācijas likuma 22.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lūdzam atbilstoši papildināt noteikumu 1. punktu. Ministru kabineta 2009. gada 3. februāra noteikumu Nr. 108 "Normatīvo aktu projektu sagatavošanas noteikumi" 100. punkts noteic, ka noteikumu projekta pirmajā punktā secīgi raksta vārdus "noteikumi nosaka" un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Lēmumu par atteikumu apstiprināt izsaukumu vai lēmumu par apstiprināta izsaukuma atcelšanu noformē un izsniedz uzaicinātājam, izmantojot veidlapu, kurā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ietvertajā noteikumu 24.</w:t>
            </w:r>
            <w:r w:rsidR="00000000" w:rsidRPr="00000000" w:rsidDel="00000000">
              <w:rPr>
                <w:vertAlign w:val="superscript"/>
                <w:rtl w:val="0"/>
              </w:rPr>
              <w:t xml:space="preserve">1</w:t>
            </w:r>
            <w:r w:rsidR="00000000" w:rsidRPr="00000000" w:rsidDel="00000000">
              <w:rPr>
                <w:rtl w:val="0"/>
              </w:rPr>
              <w:t xml:space="preserve"> punktā noteikts, kādu informāciju iekļauj lēmumā par atteikumu apstiprināt izsaukumu vai lēmumu par apstiprinātā izsaukuma atcelšanu. Administratīvā procesa likuma 67. panta otrā daļa nosaka administratīvā akta sastāvdaļas. Projekta anotācijā norādīts, ka "</w:t>
            </w:r>
            <w:r w:rsidR="00000000" w:rsidRPr="00000000" w:rsidDel="00000000">
              <w:rPr>
                <w:i w:val="1"/>
                <w:rtl w:val="0"/>
              </w:rPr>
              <w:t xml:space="preserve">izsaukuma atteikuma veidlapā tiks ietverti visi Administratīvā procesa likuma 67. pantā noteiktie administratīvā akta elementi, izņemot faktu un uzaicinātāja viedokļa izklāstu un administratīvā akta pamatojumu</w:t>
            </w:r>
            <w:r w:rsidR="00000000" w:rsidRPr="00000000" w:rsidDel="00000000">
              <w:rPr>
                <w:rtl w:val="0"/>
              </w:rPr>
              <w:t xml:space="preserve">". Vēršam uzmanību uz to, ka no Administratīvā procesa likuma atšķirīgs regulējums vai izņēmumi no tā ir jānosaka citā likumā, nevis Ministru kabineta noteikumos. Savukārt no Imigrācijas likuma neizriet, ka lēmumā par atteikumu apstiprināt izsaukumu vai lēmumā par apstiprinātā izsaukuma atcelšanu varētu neietvert kādu no Administratīvā procesa likuma 67. pantā paredzētajām administratīvā akta sastāvdaļām. Ievērojot minēto, lūdzam precizēt projekta 7. punktā ietverto noteikumu 24.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Lēmumu par atteikumu apstiprināt izsaukumu vai lēmumu par apstiprināta izsaukuma atcelšanu noformē un izsniedz uzaicinātājam, izmantojot veidlapu, kurā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Administratīvā procesa likuma 70. panta otrā daļa paredz, ka adresātam administratīvo aktu paziņo, lūdzam projekta 7. punktā noteikumu 24.</w:t>
            </w:r>
            <w:r w:rsidR="00000000" w:rsidRPr="00000000" w:rsidDel="00000000">
              <w:rPr>
                <w:vertAlign w:val="superscript"/>
                <w:rtl w:val="0"/>
              </w:rPr>
              <w:t xml:space="preserve">1 </w:t>
            </w:r>
            <w:r w:rsidR="00000000" w:rsidRPr="00000000" w:rsidDel="00000000">
              <w:rPr>
                <w:rtl w:val="0"/>
              </w:rPr>
              <w:t xml:space="preserve">punkta ievaddaļā aizstāt vārdu "izsniedz" ar vārdu "paziņo".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ka noteikumu 18.</w:t>
            </w:r>
            <w:r w:rsidR="00000000" w:rsidRPr="00000000" w:rsidDel="00000000">
              <w:rPr>
                <w:vertAlign w:val="superscript"/>
                <w:rtl w:val="0"/>
              </w:rPr>
              <w:t xml:space="preserve">1</w:t>
            </w:r>
            <w:r w:rsidR="00000000" w:rsidRPr="00000000" w:rsidDel="00000000">
              <w:rPr>
                <w:rtl w:val="0"/>
              </w:rPr>
              <w:t xml:space="preserve"> punkta pēdējā teikuma ietveršana noteikumos izriet no nepieciešamības pārņemt </w:t>
            </w:r>
            <w:r w:rsidR="00000000" w:rsidRPr="00000000" w:rsidDel="00000000">
              <w:rPr>
                <w:i w:val="1"/>
                <w:rtl w:val="0"/>
              </w:rPr>
              <w:t xml:space="preserve">Eiropas Parlamenta un Padomes 2024. gada 24. aprīļa direktīvas (ES) 2024/1233 par vienotu pieteikšanās procedūru, lai trešo valstu valstspiederīgajiem izsniegtu vienoto uzturēšanās un darba atļauju dalībvalsts teritorijā, un par vienotu tiesību kopumu trešo valstu darba ņēmējiem, kuri kādā dalībvalstī uzturas likumīgi,</w:t>
            </w:r>
            <w:r w:rsidR="00000000" w:rsidRPr="00000000" w:rsidDel="00000000">
              <w:rPr>
                <w:rtl w:val="0"/>
              </w:rPr>
              <w:t xml:space="preserve"> (pārstrādāta redakcija) prasības, tomēr aicinām anotācijas 1.3. apakšsadaļā pamatot noteikumu 18.</w:t>
            </w:r>
            <w:r w:rsidR="00000000" w:rsidRPr="00000000" w:rsidDel="00000000">
              <w:rPr>
                <w:vertAlign w:val="superscript"/>
                <w:rtl w:val="0"/>
              </w:rPr>
              <w:t xml:space="preserve">1</w:t>
            </w:r>
            <w:r w:rsidR="00000000" w:rsidRPr="00000000" w:rsidDel="00000000">
              <w:rPr>
                <w:rtl w:val="0"/>
              </w:rPr>
              <w:t xml:space="preserve"> punkta pēdējā teikuma ietveršanu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pamatot un skaidrot grozījumu noteikumu 60. punktā, tā nepieciešamību un būtību, ņemot vērā, ka atsauce uz noteikumu 59.2. apakšpunktu aizvietota ar atsauci uz 59. punktu. Citstarp aicinām skaidrot piebildes, "ja pieteikuma izskatīšana ir iekšlietu ministra kompetencē", nepieciešamību, norādot, kādos gadījumos pieteikuma izskatīšana ir iekšlietu ministra kompetencē, kā arī skaidrot paredzēto regulējumu un rīcību gadījumos, kad pieteikuma izskatīšana nav iekšlietu ministra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pamatot izmaiņas noteikumu 65.</w:t>
            </w:r>
            <w:r w:rsidR="00000000" w:rsidRPr="00000000" w:rsidDel="00000000">
              <w:rPr>
                <w:vertAlign w:val="superscript"/>
                <w:rtl w:val="0"/>
              </w:rPr>
              <w:t xml:space="preserve">1</w:t>
            </w:r>
            <w:r w:rsidR="00000000" w:rsidRPr="00000000" w:rsidDel="00000000">
              <w:rPr>
                <w:rtl w:val="0"/>
              </w:rPr>
              <w:t xml:space="preserve"> un 83.</w:t>
            </w:r>
            <w:r w:rsidR="00000000" w:rsidRPr="00000000" w:rsidDel="00000000">
              <w:rPr>
                <w:vertAlign w:val="superscript"/>
                <w:rtl w:val="0"/>
              </w:rPr>
              <w:t xml:space="preserve">1 </w:t>
            </w:r>
            <w:r w:rsidR="00000000" w:rsidRPr="00000000" w:rsidDel="00000000">
              <w:rPr>
                <w:rtl w:val="0"/>
              </w:rPr>
              <w:t xml:space="preserve">punktā. Proti, aicinām ne tikai norādīt, ka "[p]ašreizējā Noteikumu Nr. 564 redakcija neietver norādi uz nepieciešamo nodokļu samaksu gadījumos, ja persona reģistrē vai pieprasa atkārtotu termiņuzturēšanās atļauju saskaņā ar Imigrācijas likuma 23. panta pirmās daļas 28. punkta "c" apakšpunktu", bet arī skaidrot, kādēļ šāda atsauce nepieciešama. Proti, aicinām skaidrot, vai ar atsauci tiek paredzēta jauna prasība pēc būtības, paredzot nodokļu samaksu gadījumos, ja persona reģistrē vai pieprasa atkārtotu termiņuzturēšanās atļauju saskaņā ar Imigrācijas likuma 23. panta pirmās daļas 28. punkta "c" apakšpunktu, vai arī attiecīgā prasība jau izriet no likumā ietvertā regulējuma v.tml. Ja tiek noteikta jauna prasība pēc būtības, lūdzam sniegt attiecīgu pamatojumu prasības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Uzturēšanās atļauju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Imigrācijas likuma 32. panta otrās daļas izteikšanu jaunā redakcijā, kas stājusies spēkā 2026. gada 20. maijā, ar projekta 1. punktu paredzēts precizēt noteikumu tiesisko pamatu, svītrojot norādi uz Imigrācijas likuma 32. panta otro daļu. Vienlaikus saistībā ar minēto svītrojumu noteikumu saturā nav paredzēti grozījumi. Ņemot vērā, ka attiecīgajam pilnvarojumam bija jābūt izpildītam noteikumos ar konkrētu tiesisko regulējumu, aicinām sniegt skaidrojumu, vai un kādēļ nav nepieciešami un paredzēti citi grozījumi saistībā ar Imigrācijas likuma 32. panta otrās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anotāciju, jo Imigrācijas likuma 32. panta otrā daļa ir nevis izslēgta no likuma, bet gan izteikta jaunā redakcijā, izslēdzot no daļas pilnvarojumu Ministru kabinetam izdot attiecīga satura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Uzturēšanās atļaujas pieprasīšanai vai reģistrēšanai nepieciešams Pilsonības un migrācijas lietu pārvaldē (turpmāk - pārvalde) apstiprināts izsaukums. Izsaukums nav nepieciešams, ja ārzemnieks: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to, ka izsaukumu apstiprina Pilsonības un migrācijas lietu pārvalde, paredz Imigrācijas likuma 1. panta pirmās daļas 5. punkts ("</w:t>
            </w:r>
            <w:r w:rsidR="00000000" w:rsidRPr="00000000" w:rsidDel="00000000">
              <w:rPr>
                <w:i w:val="1"/>
                <w:rtl w:val="0"/>
              </w:rPr>
              <w:t xml:space="preserve">izsaukums — </w:t>
            </w:r>
            <w:r w:rsidR="00000000" w:rsidRPr="00000000" w:rsidDel="00000000">
              <w:rPr>
                <w:i w:val="1"/>
                <w:u w:val="single"/>
                <w:rtl w:val="0"/>
              </w:rPr>
              <w:t xml:space="preserve">Pārvaldes apstiprināts</w:t>
            </w:r>
            <w:r w:rsidR="00000000" w:rsidRPr="00000000" w:rsidDel="00000000">
              <w:rPr>
                <w:i w:val="1"/>
                <w:rtl w:val="0"/>
              </w:rPr>
              <w:t xml:space="preserve"> dokuments, kurā uzaicinātājs uzņemas šajā likumā noteiktās saistības attiecībā uz ārzemnieku, kuru viņš uzaicinājis uzturēties Latvijas Republikā (ar uzturēšanās atļauju)</w:t>
            </w:r>
            <w:r w:rsidR="00000000" w:rsidRPr="00000000" w:rsidDel="00000000">
              <w:rPr>
                <w:rtl w:val="0"/>
              </w:rPr>
              <w:t xml:space="preserve">"), aicinām nedublēt likumā jau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ārzemniekam izsniegta termiņuzturēšanās atļauja saistībā ar nodarbinātību pie noteikta darba devēja, un tās termiņa ietvaros mainās ārzemnieka profesija vai darba devējs, ārzemniekam noformē jaunu izsaukumu un pēc tā apstiprināšanas vai ne vēlāk kā 30 dienas pēc izsaukuma pieteikuma iesniegšanas pārvaldē var uzsākt ārzemnieka nodarbināšanu. Ja darba devēja maiņa notiek Eiropas Savienības zilās kartes turētāja bezdarba periodā vai vēlāk nekā 12 mēnešu laikā kopš Eiropas Savienības zilās kartes izsniegšanas, ārzemnieks var uzsākt nodarbinātību nekavējoties pēc izsaukuma pieteikuma iesniegšanas pārvaldē. Ja ārzemnieks nav Eiropas Savienības zilās kartes turētājs, un darba devēja maiņa notiek viņa bezdarba perioda laikā, ārzemnieks var turpināt uzturēties Latvijas Republikā līdz brīdim, kad viņš ir tiesīgs uzsākt nodarbinātību pie jaunā darba devēja, arī tad, ja pieļautais bezdarba periods ir beidzies.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norādot, kas (kura persona) noformē ārzemniekam jaunu izsaukumu, vai arī sniegt skaidrojumu anotācijā, ja tas paredzēts citviet noteikumos vai citā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25-TA-3011</w:t>
    </w:r>
    <w:r>
      <w:br/>
    </w:r>
    <w:r w:rsidR="00000000" w:rsidRPr="00000000" w:rsidDel="00000000">
      <w:rPr>
        <w:rtl w:val="0"/>
      </w:rPr>
      <w:t xml:space="preserve">Izdrukāts 28.05.2026.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25-TA-3011</w:t>
    </w:r>
    <w:r>
      <w:br/>
    </w:r>
    <w:r w:rsidR="00000000" w:rsidRPr="00000000" w:rsidDel="00000000">
      <w:rPr>
        <w:rtl w:val="0"/>
      </w:rPr>
      <w:t xml:space="preserve">Izdrukāts 28.05.2026.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Atzinumi_25-TA-3011.docx</dc:title>
</cp:coreProperties>
</file>

<file path=docProps/custom.xml><?xml version="1.0" encoding="utf-8"?>
<Properties xmlns="http://schemas.openxmlformats.org/officeDocument/2006/custom-properties" xmlns:vt="http://schemas.openxmlformats.org/officeDocument/2006/docPropsVTypes"/>
</file>