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A1D3A" w14:textId="0ADE9873" w:rsidR="00572B1E" w:rsidRDefault="00572B1E" w:rsidP="00572B1E">
      <w:pPr>
        <w:jc w:val="both"/>
        <w:rPr>
          <w:rFonts w:ascii="Times New Roman" w:hAnsi="Times New Roman" w:cs="Times New Roman"/>
          <w:sz w:val="28"/>
          <w:szCs w:val="28"/>
        </w:rPr>
      </w:pPr>
      <w:r w:rsidRPr="00CE28D4">
        <w:rPr>
          <w:rFonts w:ascii="Times New Roman" w:hAnsi="Times New Roman" w:cs="Times New Roman"/>
          <w:sz w:val="28"/>
          <w:szCs w:val="28"/>
        </w:rPr>
        <w:t xml:space="preserve">Vides </w:t>
      </w:r>
      <w:r>
        <w:rPr>
          <w:rFonts w:ascii="Times New Roman" w:hAnsi="Times New Roman" w:cs="Times New Roman"/>
          <w:sz w:val="28"/>
          <w:szCs w:val="28"/>
        </w:rPr>
        <w:t>aizsardzības un reģionālās attīstības ministrija, atbildot uz SIA “</w:t>
      </w:r>
      <w:r w:rsidRPr="000B516F">
        <w:rPr>
          <w:rFonts w:ascii="Times New Roman" w:hAnsi="Times New Roman" w:cs="Times New Roman"/>
          <w:sz w:val="28"/>
          <w:szCs w:val="28"/>
        </w:rPr>
        <w:t>Balt</w:t>
      </w:r>
      <w:r>
        <w:rPr>
          <w:rFonts w:ascii="Times New Roman" w:hAnsi="Times New Roman" w:cs="Times New Roman"/>
          <w:sz w:val="28"/>
          <w:szCs w:val="28"/>
        </w:rPr>
        <w:t>ic oil management” 2023. gada 24. janvāra atzinumu (dokumenta Nr. 02-23/N), sniedz sekojošu viedokli:</w:t>
      </w:r>
    </w:p>
    <w:p w14:paraId="188B2B14" w14:textId="5EB0695B" w:rsidR="00572B1E" w:rsidRPr="00572B1E" w:rsidRDefault="00572B1E" w:rsidP="00572B1E">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Attiecībā uz priekšlikumu par ogļūdeņražu ieguves definīcijas precizēšanu, norādām, ka nav skaidra priekšlikuma būtība un grozījumu nepieciešamības pamatojums. Izvērtējot priekšlikumu, šķiet, ka piedāvātais termina “ogļūdeņražu ieguve” skaidrojums pēc būtības neatšķiras no šobrīd likumā “Par zemes dzīlēm” ietvertā termina “derīgo izrakteņu ieguve” skaidrojuma. Abu terminu skaidrojumi noteiktu to, ka derīgo izrakteņu (ogļūdeņražu gadījumā – ogļūdeņražu) ieguve ir to atdalīšana no to dabiskās vides (ogļūdeņražu gadījumā – no zemes apakšslāņiem). Attiecīgi </w:t>
      </w:r>
      <w:r w:rsidRPr="00572B1E">
        <w:rPr>
          <w:rFonts w:ascii="Times New Roman" w:hAnsi="Times New Roman" w:cs="Times New Roman"/>
          <w:sz w:val="28"/>
          <w:szCs w:val="28"/>
        </w:rPr>
        <w:t>priekšlikums netiek ņemts vērā. Ja piedāvājums ir izslēgt minēto definīciju no likuma “Par zemes dzīlēm”, nepieciešams iesniegt šādu viedokli, pamatotu ar apsvērumiem.</w:t>
      </w:r>
    </w:p>
    <w:p w14:paraId="30C6B7A1" w14:textId="77777777" w:rsidR="00572B1E" w:rsidRPr="00572B1E" w:rsidRDefault="00572B1E" w:rsidP="00572B1E">
      <w:pPr>
        <w:pStyle w:val="ListParagraph"/>
        <w:jc w:val="both"/>
        <w:rPr>
          <w:rFonts w:ascii="Times New Roman" w:hAnsi="Times New Roman" w:cs="Times New Roman"/>
          <w:sz w:val="28"/>
          <w:szCs w:val="28"/>
        </w:rPr>
      </w:pPr>
    </w:p>
    <w:p w14:paraId="2BCFD1CD" w14:textId="3DD8A85B" w:rsidR="00572B1E" w:rsidRPr="003707E7" w:rsidRDefault="003707E7" w:rsidP="003707E7">
      <w:pPr>
        <w:pStyle w:val="ListParagraph"/>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Attiecībā uz likumprojektā paredzētajiem grozījumiem likuma “Par zemes dzīlēm” 4. panta ceturtajā daļā, lūdzam skatīt precizēto likumprojektu un papildināto anotāciju.</w:t>
      </w:r>
    </w:p>
    <w:p w14:paraId="4A546204" w14:textId="77777777" w:rsidR="00572B1E" w:rsidRPr="00572B1E" w:rsidRDefault="00572B1E" w:rsidP="00572B1E">
      <w:pPr>
        <w:pStyle w:val="ListParagraph"/>
        <w:rPr>
          <w:rFonts w:ascii="Times New Roman" w:hAnsi="Times New Roman" w:cs="Times New Roman"/>
          <w:sz w:val="28"/>
          <w:szCs w:val="28"/>
        </w:rPr>
      </w:pPr>
    </w:p>
    <w:p w14:paraId="27AAD671" w14:textId="53016CFF" w:rsidR="00572B1E" w:rsidRDefault="00572B1E" w:rsidP="00572B1E">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Attiecībā uz likumprojektā ietvertajiem likuma “Par zemes dzīlēm” 9. panta pirmās daļas 6. punkta grozījumiem, norādām, ka nav pieļaujama tiesību aktu normu vienlaicīga dublēšana un vēl jo vairāk, savstarpēja pretruna. Informējam, ka visi termiņi attiecībā uz ogļūdeņražu meklēšanas, izpētes un ieguves licencēm ir jau ietverti Ministru kabineta </w:t>
      </w:r>
      <w:r w:rsidRPr="00BE0999">
        <w:rPr>
          <w:rFonts w:ascii="Times New Roman" w:hAnsi="Times New Roman" w:cs="Times New Roman"/>
          <w:sz w:val="28"/>
          <w:szCs w:val="28"/>
        </w:rPr>
        <w:t>2015.</w:t>
      </w:r>
      <w:r>
        <w:rPr>
          <w:rFonts w:ascii="Times New Roman" w:hAnsi="Times New Roman" w:cs="Times New Roman"/>
          <w:sz w:val="28"/>
          <w:szCs w:val="28"/>
        </w:rPr>
        <w:t> </w:t>
      </w:r>
      <w:r w:rsidRPr="00BE0999">
        <w:rPr>
          <w:rFonts w:ascii="Times New Roman" w:hAnsi="Times New Roman" w:cs="Times New Roman"/>
          <w:sz w:val="28"/>
          <w:szCs w:val="28"/>
        </w:rPr>
        <w:t>gada 22.</w:t>
      </w:r>
      <w:r>
        <w:rPr>
          <w:rFonts w:ascii="Times New Roman" w:hAnsi="Times New Roman" w:cs="Times New Roman"/>
          <w:sz w:val="28"/>
          <w:szCs w:val="28"/>
        </w:rPr>
        <w:t> </w:t>
      </w:r>
      <w:r w:rsidRPr="00BE0999">
        <w:rPr>
          <w:rFonts w:ascii="Times New Roman" w:hAnsi="Times New Roman" w:cs="Times New Roman"/>
          <w:sz w:val="28"/>
          <w:szCs w:val="28"/>
        </w:rPr>
        <w:t>decembr</w:t>
      </w:r>
      <w:r>
        <w:rPr>
          <w:rFonts w:ascii="Times New Roman" w:hAnsi="Times New Roman" w:cs="Times New Roman"/>
          <w:sz w:val="28"/>
          <w:szCs w:val="28"/>
        </w:rPr>
        <w:t xml:space="preserve">a </w:t>
      </w:r>
      <w:r w:rsidRPr="00BE0999">
        <w:rPr>
          <w:rFonts w:ascii="Times New Roman" w:hAnsi="Times New Roman" w:cs="Times New Roman"/>
          <w:sz w:val="28"/>
          <w:szCs w:val="28"/>
        </w:rPr>
        <w:t>noteikumos Nr. 805 “Noteikumi par ogļūdeņražu meklēšanu, izpēti un ieguvi”</w:t>
      </w:r>
      <w:r>
        <w:rPr>
          <w:rFonts w:ascii="Times New Roman" w:hAnsi="Times New Roman" w:cs="Times New Roman"/>
          <w:sz w:val="28"/>
          <w:szCs w:val="28"/>
        </w:rPr>
        <w:t>.</w:t>
      </w:r>
    </w:p>
    <w:p w14:paraId="609A76D3" w14:textId="77777777" w:rsidR="00572B1E" w:rsidRPr="00572B1E" w:rsidRDefault="00572B1E" w:rsidP="00572B1E">
      <w:pPr>
        <w:pStyle w:val="ListParagraph"/>
        <w:rPr>
          <w:rFonts w:ascii="Times New Roman" w:hAnsi="Times New Roman" w:cs="Times New Roman"/>
          <w:sz w:val="28"/>
          <w:szCs w:val="28"/>
        </w:rPr>
      </w:pPr>
    </w:p>
    <w:p w14:paraId="51EC7265" w14:textId="25C3FA3D" w:rsidR="00572B1E" w:rsidRDefault="00572B1E" w:rsidP="00572B1E">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Attiecībā uz atzinumā pausto viedokli, ka atteikums izsniegt licenci vērtējams kā nepamatots vai nesamērīgs sods, norādām, ka n</w:t>
      </w:r>
      <w:r w:rsidRPr="002F67BF">
        <w:rPr>
          <w:rFonts w:ascii="Times New Roman" w:hAnsi="Times New Roman" w:cs="Times New Roman"/>
          <w:sz w:val="28"/>
          <w:szCs w:val="28"/>
        </w:rPr>
        <w:t xml:space="preserve">av pieļaujams, ka zemes dzīļu </w:t>
      </w:r>
      <w:r>
        <w:rPr>
          <w:rFonts w:ascii="Times New Roman" w:hAnsi="Times New Roman" w:cs="Times New Roman"/>
          <w:sz w:val="28"/>
          <w:szCs w:val="28"/>
        </w:rPr>
        <w:t>izmantotājs</w:t>
      </w:r>
      <w:r w:rsidRPr="002F67BF">
        <w:rPr>
          <w:rFonts w:ascii="Times New Roman" w:hAnsi="Times New Roman" w:cs="Times New Roman"/>
          <w:sz w:val="28"/>
          <w:szCs w:val="28"/>
        </w:rPr>
        <w:t xml:space="preserve"> veic pārkāpumus,</w:t>
      </w:r>
      <w:r>
        <w:rPr>
          <w:rFonts w:ascii="Times New Roman" w:hAnsi="Times New Roman" w:cs="Times New Roman"/>
          <w:sz w:val="28"/>
          <w:szCs w:val="28"/>
        </w:rPr>
        <w:t xml:space="preserve"> turklāt atkārtotus. </w:t>
      </w:r>
    </w:p>
    <w:p w14:paraId="76ED72BE" w14:textId="77777777" w:rsidR="00572B1E" w:rsidRDefault="00572B1E" w:rsidP="00746289">
      <w:pPr>
        <w:pStyle w:val="ListParagraph"/>
        <w:jc w:val="both"/>
        <w:rPr>
          <w:rFonts w:ascii="Times New Roman" w:hAnsi="Times New Roman" w:cs="Times New Roman"/>
          <w:sz w:val="28"/>
          <w:szCs w:val="28"/>
        </w:rPr>
      </w:pPr>
      <w:r w:rsidRPr="002F67BF">
        <w:rPr>
          <w:rFonts w:ascii="Times New Roman" w:hAnsi="Times New Roman" w:cs="Times New Roman"/>
          <w:sz w:val="28"/>
          <w:szCs w:val="28"/>
        </w:rPr>
        <w:br/>
        <w:t xml:space="preserve">Tas ir kā motivējošs rīks, ka šādi </w:t>
      </w:r>
      <w:r>
        <w:rPr>
          <w:rFonts w:ascii="Times New Roman" w:hAnsi="Times New Roman" w:cs="Times New Roman"/>
          <w:sz w:val="28"/>
          <w:szCs w:val="28"/>
        </w:rPr>
        <w:t xml:space="preserve">– prettiesiski, </w:t>
      </w:r>
      <w:r w:rsidRPr="002F67BF">
        <w:rPr>
          <w:rFonts w:ascii="Times New Roman" w:hAnsi="Times New Roman" w:cs="Times New Roman"/>
          <w:sz w:val="28"/>
          <w:szCs w:val="28"/>
        </w:rPr>
        <w:t>rīkoties</w:t>
      </w:r>
      <w:r>
        <w:rPr>
          <w:rFonts w:ascii="Times New Roman" w:hAnsi="Times New Roman" w:cs="Times New Roman"/>
          <w:sz w:val="28"/>
          <w:szCs w:val="28"/>
        </w:rPr>
        <w:t xml:space="preserve">, </w:t>
      </w:r>
      <w:r w:rsidRPr="00146E28">
        <w:rPr>
          <w:rFonts w:ascii="Times New Roman" w:hAnsi="Times New Roman" w:cs="Times New Roman"/>
          <w:sz w:val="28"/>
          <w:szCs w:val="28"/>
        </w:rPr>
        <w:t xml:space="preserve">neievērojot zemes dzīļu normatīvo aktu vai zemes dzīļu izmantošanas licences prasības vai derīgo izrakteņu ieguves projekta prasības, </w:t>
      </w:r>
      <w:r w:rsidRPr="002F67BF">
        <w:rPr>
          <w:rFonts w:ascii="Times New Roman" w:hAnsi="Times New Roman" w:cs="Times New Roman"/>
          <w:sz w:val="28"/>
          <w:szCs w:val="28"/>
        </w:rPr>
        <w:t xml:space="preserve">nav pieļaujams un sekas ir </w:t>
      </w:r>
      <w:r>
        <w:rPr>
          <w:rFonts w:ascii="Times New Roman" w:hAnsi="Times New Roman" w:cs="Times New Roman"/>
          <w:sz w:val="28"/>
          <w:szCs w:val="28"/>
        </w:rPr>
        <w:t>periods, kad licenci vai atļauju nevar saņemt</w:t>
      </w:r>
      <w:r w:rsidRPr="002F67BF">
        <w:rPr>
          <w:rFonts w:ascii="Times New Roman" w:hAnsi="Times New Roman" w:cs="Times New Roman"/>
          <w:sz w:val="28"/>
          <w:szCs w:val="28"/>
        </w:rPr>
        <w:t>. Tur</w:t>
      </w:r>
      <w:r>
        <w:rPr>
          <w:rFonts w:ascii="Times New Roman" w:hAnsi="Times New Roman" w:cs="Times New Roman"/>
          <w:sz w:val="28"/>
          <w:szCs w:val="28"/>
        </w:rPr>
        <w:t xml:space="preserve">klāt, liela daļa derīgo izrakteņu ieguves vietu atrodas publiskai personai piederošā zemē un </w:t>
      </w:r>
      <w:r w:rsidRPr="002F67BF">
        <w:rPr>
          <w:rFonts w:ascii="Times New Roman" w:hAnsi="Times New Roman" w:cs="Times New Roman"/>
          <w:sz w:val="28"/>
          <w:szCs w:val="28"/>
        </w:rPr>
        <w:t xml:space="preserve">aizsargāt publiskas personas intereses ir </w:t>
      </w:r>
      <w:r w:rsidRPr="002F67BF">
        <w:rPr>
          <w:rFonts w:ascii="Times New Roman" w:hAnsi="Times New Roman" w:cs="Times New Roman"/>
          <w:sz w:val="28"/>
          <w:szCs w:val="28"/>
        </w:rPr>
        <w:lastRenderedPageBreak/>
        <w:t>ļoti būtiski.</w:t>
      </w:r>
      <w:r>
        <w:rPr>
          <w:rFonts w:ascii="Times New Roman" w:hAnsi="Times New Roman" w:cs="Times New Roman"/>
          <w:sz w:val="28"/>
          <w:szCs w:val="28"/>
        </w:rPr>
        <w:t xml:space="preserve"> Tas pats attiecas arī uz fiziskām personām.</w:t>
      </w:r>
      <w:r w:rsidRPr="002F67BF">
        <w:rPr>
          <w:rFonts w:ascii="Times New Roman" w:hAnsi="Times New Roman" w:cs="Times New Roman"/>
          <w:sz w:val="28"/>
          <w:szCs w:val="28"/>
        </w:rPr>
        <w:br/>
      </w:r>
      <w:r w:rsidRPr="002F67BF">
        <w:rPr>
          <w:rFonts w:ascii="Times New Roman" w:hAnsi="Times New Roman" w:cs="Times New Roman"/>
          <w:sz w:val="28"/>
          <w:szCs w:val="28"/>
        </w:rPr>
        <w:br/>
      </w:r>
      <w:r>
        <w:rPr>
          <w:rFonts w:ascii="Times New Roman" w:hAnsi="Times New Roman" w:cs="Times New Roman"/>
          <w:sz w:val="28"/>
          <w:szCs w:val="28"/>
        </w:rPr>
        <w:t>N</w:t>
      </w:r>
      <w:r w:rsidRPr="002F67BF">
        <w:rPr>
          <w:rFonts w:ascii="Times New Roman" w:hAnsi="Times New Roman" w:cs="Times New Roman"/>
          <w:sz w:val="28"/>
          <w:szCs w:val="28"/>
        </w:rPr>
        <w:t xml:space="preserve">ormas mērķis ir veicināt, lai </w:t>
      </w:r>
      <w:r>
        <w:rPr>
          <w:rFonts w:ascii="Times New Roman" w:hAnsi="Times New Roman" w:cs="Times New Roman"/>
          <w:sz w:val="28"/>
          <w:szCs w:val="28"/>
        </w:rPr>
        <w:t>zemes dzīļu izmantotājs ne tikai samaksā sodu par pārkāpumu, ja tāds piemērots, bet arī apzinās, ka atkārtotiem pārkāpumiem</w:t>
      </w:r>
      <w:r w:rsidRPr="002F67BF">
        <w:rPr>
          <w:rFonts w:ascii="Times New Roman" w:hAnsi="Times New Roman" w:cs="Times New Roman"/>
          <w:sz w:val="28"/>
          <w:szCs w:val="28"/>
        </w:rPr>
        <w:t xml:space="preserve"> </w:t>
      </w:r>
      <w:r>
        <w:rPr>
          <w:rFonts w:ascii="Times New Roman" w:hAnsi="Times New Roman" w:cs="Times New Roman"/>
          <w:sz w:val="28"/>
          <w:szCs w:val="28"/>
        </w:rPr>
        <w:t>būs sekas un licences vai atļaujas saņemšanas ierobežojumi</w:t>
      </w:r>
      <w:r w:rsidRPr="002F67BF">
        <w:rPr>
          <w:rFonts w:ascii="Times New Roman" w:hAnsi="Times New Roman" w:cs="Times New Roman"/>
          <w:sz w:val="28"/>
          <w:szCs w:val="28"/>
        </w:rPr>
        <w:t>.</w:t>
      </w:r>
    </w:p>
    <w:p w14:paraId="0E57CC00" w14:textId="77777777" w:rsidR="00572B1E" w:rsidRPr="002F67BF" w:rsidRDefault="00572B1E" w:rsidP="00746289">
      <w:pPr>
        <w:pStyle w:val="ListParagraph"/>
        <w:jc w:val="both"/>
        <w:rPr>
          <w:rFonts w:ascii="Times New Roman" w:hAnsi="Times New Roman" w:cs="Times New Roman"/>
          <w:sz w:val="28"/>
          <w:szCs w:val="28"/>
        </w:rPr>
      </w:pPr>
    </w:p>
    <w:p w14:paraId="78BF5E88" w14:textId="7379BE9B" w:rsidR="00572B1E" w:rsidRDefault="00746289" w:rsidP="00572B1E">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Attiecībā uz atzinumā pausto viedokli par likumprojektā ietvertajiem grozījumiem likuma “Par zemes dzīlēm” 14. panta 8. punktu, norādām, ka nav iespējams izvērtēt iebildumu, jo nav sniegts pamatojums. Vienlaikus lūdzam skatīt precizētajiem likumprojektā ietvertajiem grozījumiem likuma “Par zemes dzīlēm” 14. panta 8. punktā, kas paredz zemes dzīļu izmantotāja atbildību ārpus licences vai atļaujas laukuma, vienlaikus ierobežojot atbildību ar derīgo izrakteņu ieguves projekta prasību neizpildi. Norādām, ka piedāvātās izmaiņas risinās gadījumus, kad zemes dzīļu izmantotājs nepilda licences vai atļaujas nosacījumus vai derīgo izrakteņu ieguves projekta prasības un šādas rīcības dēļ rada bojājumus kā licences vai atļaujas laukumā, tā ārpus tā.</w:t>
      </w:r>
    </w:p>
    <w:p w14:paraId="20924875" w14:textId="77777777" w:rsidR="00E0279F" w:rsidRPr="00572B1E" w:rsidRDefault="00E0279F" w:rsidP="00E0279F">
      <w:pPr>
        <w:pStyle w:val="ListParagraph"/>
        <w:jc w:val="both"/>
        <w:rPr>
          <w:rFonts w:ascii="Times New Roman" w:hAnsi="Times New Roman" w:cs="Times New Roman"/>
          <w:sz w:val="28"/>
          <w:szCs w:val="28"/>
        </w:rPr>
      </w:pPr>
    </w:p>
    <w:p w14:paraId="2E854928" w14:textId="64667802" w:rsidR="00572B1E" w:rsidRDefault="00E0279F" w:rsidP="00572B1E">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Attiecībā uz atzinumā pausto viedokli par likumprojektā ietvertajiem grozījumiem likuma “Par zemes dzīlēm” 16. pantā, norādām, ka tiesību aktu normām ir jābūt maksimāli skaidrām un saprotamām ikvienam. Ir jāizvairās no nekonkrētām normām. Īpaši minētais attiecas uz normām, kas paredz valsts institūciju pienākumus. Ņemot vērā minēto, nepiekrītam precizēt likuma “Par zemes dzīlēm” 16. panta pirmo un trešo daļu kā piedāvā atzinuma sniedzējs.</w:t>
      </w:r>
    </w:p>
    <w:p w14:paraId="65E72EDB" w14:textId="77777777" w:rsidR="00E0279F" w:rsidRPr="00E0279F" w:rsidRDefault="00E0279F" w:rsidP="00E0279F">
      <w:pPr>
        <w:pStyle w:val="ListParagraph"/>
        <w:rPr>
          <w:rFonts w:ascii="Times New Roman" w:hAnsi="Times New Roman" w:cs="Times New Roman"/>
          <w:sz w:val="28"/>
          <w:szCs w:val="28"/>
        </w:rPr>
      </w:pPr>
    </w:p>
    <w:p w14:paraId="3C00FE15" w14:textId="2C7E2D8D" w:rsidR="00E0279F" w:rsidRDefault="00E0279F" w:rsidP="00B507F8">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Attiecībā uz likumprojektā ietvertajiem grozījumiem likuma “Par zemes dzīlēm” 16. panta piektajā daļā, nav skaidrs, kāds ir iebilduma pamatojums. No iebilduma var secināt, ka atzinuma sniedzēja ieskatā informēt atbildīgo institūciju par iespējamu pārkāpumu vides jomā vērtējams kā papildu administratīvais slogs, kam VARAM nepiekrīt.</w:t>
      </w:r>
    </w:p>
    <w:p w14:paraId="26E04A6E" w14:textId="77777777" w:rsidR="00B507F8" w:rsidRPr="00B507F8" w:rsidRDefault="00B507F8" w:rsidP="00B507F8">
      <w:pPr>
        <w:pStyle w:val="ListParagraph"/>
        <w:rPr>
          <w:rFonts w:ascii="Times New Roman" w:hAnsi="Times New Roman" w:cs="Times New Roman"/>
          <w:sz w:val="28"/>
          <w:szCs w:val="28"/>
        </w:rPr>
      </w:pPr>
    </w:p>
    <w:p w14:paraId="17B2128B" w14:textId="77777777" w:rsidR="00B507F8" w:rsidRDefault="00B507F8" w:rsidP="00B507F8">
      <w:pPr>
        <w:pStyle w:val="ListParagraph"/>
        <w:numPr>
          <w:ilvl w:val="0"/>
          <w:numId w:val="1"/>
        </w:numPr>
        <w:jc w:val="both"/>
        <w:rPr>
          <w:rFonts w:ascii="Times New Roman" w:hAnsi="Times New Roman" w:cs="Times New Roman"/>
          <w:sz w:val="28"/>
          <w:szCs w:val="28"/>
        </w:rPr>
      </w:pPr>
      <w:r w:rsidRPr="00985ABA">
        <w:rPr>
          <w:rFonts w:ascii="Times New Roman" w:hAnsi="Times New Roman" w:cs="Times New Roman"/>
          <w:sz w:val="28"/>
          <w:szCs w:val="28"/>
        </w:rPr>
        <w:t>Attiecībā uz vārda “neaptur” aizstāšanu uz “aptur” likuma “Par zemes dzīlēm” 16. panta sestajā daļā, norādām</w:t>
      </w:r>
      <w:r>
        <w:rPr>
          <w:rFonts w:ascii="Times New Roman" w:hAnsi="Times New Roman" w:cs="Times New Roman"/>
          <w:sz w:val="28"/>
          <w:szCs w:val="28"/>
        </w:rPr>
        <w:t xml:space="preserve">, ka Administratīvā procesa likuma </w:t>
      </w:r>
      <w:r w:rsidRPr="00985ABA">
        <w:rPr>
          <w:rFonts w:ascii="Times New Roman" w:hAnsi="Times New Roman" w:cs="Times New Roman"/>
          <w:sz w:val="28"/>
          <w:szCs w:val="28"/>
        </w:rPr>
        <w:t xml:space="preserve">360. panta “Piespiedu izpildes priekšnoteikumi” otrās daļas pirmais punkts noteic, ka administratīvo aktu var izpildīt </w:t>
      </w:r>
      <w:r w:rsidRPr="00985ABA">
        <w:rPr>
          <w:rFonts w:ascii="Times New Roman" w:hAnsi="Times New Roman" w:cs="Times New Roman"/>
          <w:sz w:val="28"/>
          <w:szCs w:val="28"/>
        </w:rPr>
        <w:lastRenderedPageBreak/>
        <w:t>piespiedu kārtā jau ar spēkā stāšanās brīdi, negaidot, kad tas kļuvis neapstrīdams un līdz piespiedu izpildes sākumam vēl nav izpildīts labprātīgi, ja izpilde ar spēkā stāšanās brīdi paredzēta citā likumā. Attiecīgi Administratīvā procesa likums paredz iespēju citā</w:t>
      </w:r>
      <w:r>
        <w:rPr>
          <w:rFonts w:ascii="Times New Roman" w:hAnsi="Times New Roman" w:cs="Times New Roman"/>
          <w:sz w:val="28"/>
          <w:szCs w:val="28"/>
        </w:rPr>
        <w:t xml:space="preserve"> (speciālajā)</w:t>
      </w:r>
      <w:r w:rsidRPr="00985ABA">
        <w:rPr>
          <w:rFonts w:ascii="Times New Roman" w:hAnsi="Times New Roman" w:cs="Times New Roman"/>
          <w:sz w:val="28"/>
          <w:szCs w:val="28"/>
        </w:rPr>
        <w:t xml:space="preserve"> likumā noteikt, ka pārsūdzēšana neaptur administratīvā akta darbību.</w:t>
      </w:r>
      <w:r>
        <w:rPr>
          <w:rFonts w:ascii="Times New Roman" w:hAnsi="Times New Roman" w:cs="Times New Roman"/>
          <w:sz w:val="28"/>
          <w:szCs w:val="28"/>
        </w:rPr>
        <w:t xml:space="preserve"> Nesaskatām pamatu spēkā esošā regulējuma mainīšanai.</w:t>
      </w:r>
    </w:p>
    <w:p w14:paraId="7FA638DC" w14:textId="77777777" w:rsidR="00B507F8" w:rsidRPr="00B507F8" w:rsidRDefault="00B507F8" w:rsidP="00B507F8">
      <w:pPr>
        <w:pStyle w:val="ListParagraph"/>
        <w:jc w:val="both"/>
        <w:rPr>
          <w:rFonts w:ascii="Times New Roman" w:hAnsi="Times New Roman" w:cs="Times New Roman"/>
          <w:sz w:val="28"/>
          <w:szCs w:val="28"/>
        </w:rPr>
      </w:pPr>
    </w:p>
    <w:p w14:paraId="48D9BF4D" w14:textId="77777777" w:rsidR="00E24FA3" w:rsidRDefault="00E24FA3"/>
    <w:sectPr w:rsidR="00E24FA3">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842A6" w14:textId="77777777" w:rsidR="00DE794B" w:rsidRDefault="00DE794B" w:rsidP="002B7D2F">
      <w:pPr>
        <w:spacing w:after="0" w:line="240" w:lineRule="auto"/>
      </w:pPr>
      <w:r>
        <w:separator/>
      </w:r>
    </w:p>
  </w:endnote>
  <w:endnote w:type="continuationSeparator" w:id="0">
    <w:p w14:paraId="07238A0F" w14:textId="77777777" w:rsidR="00DE794B" w:rsidRDefault="00DE794B" w:rsidP="002B7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B70D" w14:textId="4ACDA8C4" w:rsidR="002B7D2F" w:rsidRDefault="002B7D2F">
    <w:pPr>
      <w:pStyle w:val="Footer"/>
    </w:pPr>
    <w:r>
      <w:t>VARAMInf_bom_zemes_dziles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23D14" w14:textId="77777777" w:rsidR="00DE794B" w:rsidRDefault="00DE794B" w:rsidP="002B7D2F">
      <w:pPr>
        <w:spacing w:after="0" w:line="240" w:lineRule="auto"/>
      </w:pPr>
      <w:r>
        <w:separator/>
      </w:r>
    </w:p>
  </w:footnote>
  <w:footnote w:type="continuationSeparator" w:id="0">
    <w:p w14:paraId="3E5D7838" w14:textId="77777777" w:rsidR="00DE794B" w:rsidRDefault="00DE794B" w:rsidP="002B7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26627"/>
    <w:multiLevelType w:val="hybridMultilevel"/>
    <w:tmpl w:val="6C6CF0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28F5735"/>
    <w:multiLevelType w:val="hybridMultilevel"/>
    <w:tmpl w:val="BCC43E30"/>
    <w:lvl w:ilvl="0" w:tplc="027C9E9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9177803">
    <w:abstractNumId w:val="1"/>
  </w:num>
  <w:num w:numId="2" w16cid:durableId="171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2F"/>
    <w:rsid w:val="002B7D2F"/>
    <w:rsid w:val="003707E7"/>
    <w:rsid w:val="00572B1E"/>
    <w:rsid w:val="00746289"/>
    <w:rsid w:val="00B507F8"/>
    <w:rsid w:val="00DE794B"/>
    <w:rsid w:val="00E0279F"/>
    <w:rsid w:val="00E24FA3"/>
    <w:rsid w:val="00FC103B"/>
    <w:rsid w:val="00FE65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D32BD"/>
  <w15:chartTrackingRefBased/>
  <w15:docId w15:val="{130E3583-7338-44A4-B49F-20BCE4B3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B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B7D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2B7D2F"/>
  </w:style>
  <w:style w:type="paragraph" w:styleId="Header">
    <w:name w:val="header"/>
    <w:basedOn w:val="Normal"/>
    <w:link w:val="HeaderChar"/>
    <w:uiPriority w:val="99"/>
    <w:unhideWhenUsed/>
    <w:rsid w:val="002B7D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2B7D2F"/>
  </w:style>
  <w:style w:type="paragraph" w:styleId="ListParagraph">
    <w:name w:val="List Paragraph"/>
    <w:basedOn w:val="Normal"/>
    <w:uiPriority w:val="34"/>
    <w:qFormat/>
    <w:rsid w:val="00572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2934</Words>
  <Characters>1673</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Natālija Slaidiņa</cp:lastModifiedBy>
  <cp:revision>5</cp:revision>
  <dcterms:created xsi:type="dcterms:W3CDTF">2023-03-29T14:58:00Z</dcterms:created>
  <dcterms:modified xsi:type="dcterms:W3CDTF">2023-04-19T09:23:00Z</dcterms:modified>
</cp:coreProperties>
</file>